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04" w:rsidRPr="001E7D6A" w:rsidRDefault="00305B2B" w:rsidP="001E7D6A">
      <w:pPr>
        <w:jc w:val="center"/>
        <w:rPr>
          <w:b/>
        </w:rPr>
      </w:pPr>
      <w:r w:rsidRPr="001E7D6A">
        <w:rPr>
          <w:b/>
        </w:rPr>
        <w:t xml:space="preserve">CHY4U </w:t>
      </w:r>
      <w:r w:rsidR="001E7D6A">
        <w:rPr>
          <w:b/>
        </w:rPr>
        <w:t xml:space="preserve">Unit 2 </w:t>
      </w:r>
      <w:r w:rsidRPr="001E7D6A">
        <w:rPr>
          <w:b/>
        </w:rPr>
        <w:t>Timeline with Attitude</w:t>
      </w:r>
    </w:p>
    <w:p w:rsidR="00373672" w:rsidRPr="009A1013" w:rsidRDefault="00D72A05" w:rsidP="00373672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Timeline </w:t>
      </w:r>
      <w:r w:rsidR="009A1013" w:rsidRPr="009A1013">
        <w:rPr>
          <w:rFonts w:ascii="Arial" w:hAnsi="Arial" w:cs="Arial"/>
          <w:b/>
          <w:color w:val="000000"/>
          <w:sz w:val="22"/>
          <w:szCs w:val="22"/>
        </w:rPr>
        <w:t>R</w:t>
      </w:r>
      <w:r w:rsidR="00373672" w:rsidRPr="009A1013">
        <w:rPr>
          <w:rFonts w:ascii="Arial" w:hAnsi="Arial" w:cs="Arial"/>
          <w:b/>
          <w:color w:val="000000"/>
          <w:sz w:val="22"/>
          <w:szCs w:val="22"/>
        </w:rPr>
        <w:t>equirements:</w:t>
      </w:r>
    </w:p>
    <w:p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>6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from Activities 1 - 4 from this unit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 xml:space="preserve"> (1650 to 1789 – no events before or after that date)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:rsidR="004B4DAF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make the timeline from the perspective of a group in this unit (e.g.,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workers, colonials, indigenous peoples, industrialists, or another group that you identify)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:rsidR="00373672" w:rsidRPr="006C5453" w:rsidRDefault="002B52F8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Each event will hav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>e a two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-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four-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sentence </w:t>
      </w:r>
      <w:r w:rsidR="00675C72" w:rsidRPr="00206957">
        <w:rPr>
          <w:rFonts w:ascii="Arial" w:eastAsia="Times New Roman" w:hAnsi="Arial" w:cs="Arial"/>
          <w:b/>
          <w:color w:val="000000"/>
          <w:sz w:val="20"/>
          <w:lang w:eastAsia="en-CA"/>
        </w:rPr>
        <w:t>explanation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how the event reveals the perspective.</w:t>
      </w:r>
    </w:p>
    <w:p w:rsidR="00373672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Select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>six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that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are, in your opinion, the most relevant to your selected perspective.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For each event, choose a </w:t>
      </w:r>
      <w:r w:rsidRPr="0009176D">
        <w:rPr>
          <w:rFonts w:ascii="Arial" w:eastAsia="Times New Roman" w:hAnsi="Arial" w:cs="Arial"/>
          <w:b/>
          <w:color w:val="000000"/>
          <w:sz w:val="20"/>
          <w:lang w:eastAsia="en-CA"/>
        </w:rPr>
        <w:t>visual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represent it (a photo, drawing, </w:t>
      </w:r>
      <w:proofErr w:type="gramStart"/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painting</w:t>
      </w:r>
      <w:proofErr w:type="gramEnd"/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quote from a primary source) that conveys </w:t>
      </w:r>
      <w:r>
        <w:rPr>
          <w:rFonts w:ascii="Arial" w:eastAsia="Times New Roman" w:hAnsi="Arial" w:cs="Arial"/>
          <w:color w:val="000000"/>
          <w:sz w:val="20"/>
          <w:lang w:eastAsia="en-CA"/>
        </w:rPr>
        <w:t>an important message related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the perspective. If the visual needs to be explained, please do so in a 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short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caption.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Cite your sources in embedded citation format: (author/title/date/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CA"/>
        </w:rPr>
        <w:t>url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CA"/>
        </w:rPr>
        <w:t>)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– do not choose images that were already selected by the teacher!!!</w:t>
      </w:r>
    </w:p>
    <w:p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Format of the Timeline:</w:t>
      </w:r>
    </w:p>
    <w:p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(dates)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your particular group, the higher it should appear on your timeline. The lower, the less significant or more associated with decline. </w:t>
      </w:r>
    </w:p>
    <w:p w:rsidR="00D72A05" w:rsidRPr="006C5453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You must create scale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for your Y axis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 xml:space="preserve"> (above and below the x axis)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You should use descriptive scale labels for the progress and decline scales. Do </w:t>
      </w:r>
      <w:r w:rsidRPr="00D72A05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not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just label the scales + or -1, + or -2, + or -3. </w:t>
      </w:r>
    </w:p>
    <w:p w:rsidR="00D72A05" w:rsidRPr="00D72A05" w:rsidRDefault="00D72A05" w:rsidP="00D72A0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may be created electronically or by hand. Do not use PPT slides </w:t>
      </w:r>
      <w:r>
        <w:rPr>
          <w:rFonts w:ascii="Arial" w:eastAsia="Times New Roman" w:hAnsi="Arial" w:cs="Arial"/>
          <w:color w:val="000000"/>
          <w:sz w:val="20"/>
          <w:lang w:eastAsia="en-CA"/>
        </w:rPr>
        <w:t>because</w:t>
      </w:r>
      <w:r w:rsidRP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 the view of the whole timeline should be emphasized.</w:t>
      </w:r>
    </w:p>
    <w:p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 xml:space="preserve">Paragraph </w:t>
      </w:r>
      <w:r w:rsidRPr="00D72A05">
        <w:rPr>
          <w:rFonts w:ascii="Arial" w:eastAsia="Times New Roman" w:hAnsi="Arial" w:cs="Arial"/>
          <w:b/>
          <w:color w:val="000000"/>
          <w:lang w:eastAsia="en-CA"/>
        </w:rPr>
        <w:t>Requirement</w:t>
      </w:r>
      <w:r>
        <w:rPr>
          <w:rFonts w:ascii="Arial" w:eastAsia="Times New Roman" w:hAnsi="Arial" w:cs="Arial"/>
          <w:b/>
          <w:color w:val="000000"/>
          <w:lang w:eastAsia="en-CA"/>
        </w:rPr>
        <w:t>s</w:t>
      </w:r>
      <w:r w:rsidRPr="00D72A05">
        <w:rPr>
          <w:rFonts w:ascii="Arial" w:eastAsia="Times New Roman" w:hAnsi="Arial" w:cs="Arial"/>
          <w:b/>
          <w:color w:val="000000"/>
          <w:lang w:eastAsia="en-CA"/>
        </w:rPr>
        <w:t>:</w:t>
      </w:r>
    </w:p>
    <w:p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choose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one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 from your timeline and explain, in paragraph form</w:t>
      </w:r>
      <w:r>
        <w:rPr>
          <w:rFonts w:ascii="Arial" w:eastAsia="Times New Roman" w:hAnsi="Arial" w:cs="Arial"/>
          <w:color w:val="000000"/>
          <w:sz w:val="20"/>
          <w:lang w:eastAsia="en-CA"/>
        </w:rPr>
        <w:t>,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why </w:t>
      </w:r>
      <w:r>
        <w:rPr>
          <w:rFonts w:ascii="Arial" w:eastAsia="Times New Roman" w:hAnsi="Arial" w:cs="Arial"/>
          <w:color w:val="000000"/>
          <w:sz w:val="20"/>
          <w:lang w:eastAsia="en-CA"/>
        </w:rPr>
        <w:t>it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</w:t>
      </w:r>
      <w:r>
        <w:rPr>
          <w:rFonts w:ascii="Arial" w:eastAsia="Times New Roman" w:hAnsi="Arial" w:cs="Arial"/>
          <w:color w:val="000000"/>
          <w:sz w:val="20"/>
          <w:lang w:eastAsia="en-CA"/>
        </w:rPr>
        <w:t>as 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6C5453">
        <w:rPr>
          <w:rFonts w:ascii="Arial" w:eastAsia="Times New Roman" w:hAnsi="Arial" w:cs="Arial"/>
          <w:b/>
          <w:color w:val="000000"/>
          <w:sz w:val="20"/>
          <w:lang w:eastAsia="en-CA"/>
        </w:rPr>
        <w:t>turning point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the perspective of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 chosen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group. A turning point is a change in the pace or direction of change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(so there must be explanation of the difference between before and after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in either pace of change or direction of change</w:t>
      </w:r>
      <w:r>
        <w:rPr>
          <w:rFonts w:ascii="Arial" w:eastAsia="Times New Roman" w:hAnsi="Arial" w:cs="Arial"/>
          <w:color w:val="000000"/>
          <w:sz w:val="20"/>
          <w:lang w:eastAsia="en-CA"/>
        </w:rPr>
        <w:t>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Page limit = ½ to ¾ of a page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double-spaced</w:t>
      </w:r>
      <w:r>
        <w:rPr>
          <w:rFonts w:ascii="Arial" w:eastAsia="Times New Roman" w:hAnsi="Arial" w:cs="Arial"/>
          <w:color w:val="000000"/>
          <w:sz w:val="20"/>
          <w:lang w:eastAsia="en-CA"/>
        </w:rPr>
        <w:t>.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D72A05" w:rsidRPr="006C5453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:rsidR="00373672" w:rsidRDefault="009A1013">
      <w:pPr>
        <w:rPr>
          <w:b/>
        </w:rPr>
      </w:pPr>
      <w:r>
        <w:rPr>
          <w:b/>
        </w:rPr>
        <w:t xml:space="preserve">Curriculum Expectations, </w:t>
      </w:r>
      <w:r w:rsidR="0092394B">
        <w:rPr>
          <w:b/>
        </w:rPr>
        <w:t xml:space="preserve">Learning Goals and Success Criteria </w:t>
      </w:r>
      <w:r w:rsidR="0033495E">
        <w:rPr>
          <w:b/>
        </w:rPr>
        <w:t>for Timeline with Attitude</w:t>
      </w:r>
    </w:p>
    <w:tbl>
      <w:tblPr>
        <w:tblW w:w="10291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3636"/>
      </w:tblGrid>
      <w:tr w:rsidR="0092394B" w:rsidRPr="002B52F8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Expectations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Learning Goals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Success Criteria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A1.7 evaluate and synthesize their findings to formulate conclusions and/or make informed judgements or predictions about the issues, events, and/or developments they are investigating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synthesize sources to make judgements about historic events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make conclusions 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C1. Social, Economic, and Political Context: analyse key social, economic, and political issues, trends, and/or developments in various regions of t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he world between 1650 and 1789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analyze the social, economic and political causes and consequences of historic events between 1650-1789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the 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6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most significant developments and events between 1650-1789 that represented progress and decline which reflect a specific perspective (e.g. women, enslaved persons, factory workers, colonials, indigenous peoples, industrialists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,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etc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.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)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A1.2 select and organize relevant evidence and information on aspects of world history since the fifteenth century from a variety of primary and secondary sources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select evidence to reflect progress or decline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visual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sources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to represent progress and decline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and place them in an appropriate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location on </w:t>
            </w:r>
            <w:r w:rsidR="00114382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the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timeline.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interpret evidence to</w:t>
            </w:r>
            <w:bookmarkStart w:id="0" w:name="_GoBack"/>
            <w:bookmarkEnd w:id="0"/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make conclusions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BB7D14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justify which event 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on timeline </w:t>
            </w: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was a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turning point for my identified group in a paragraph 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A1.6 use the concepts of historical thinking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apply historical thinking concepts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continuity and change through selection of a turning point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and progress and decline</w:t>
            </w:r>
          </w:p>
          <w:p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historical perspective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</w:t>
            </w:r>
            <w:r w:rsidR="002B52F8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to determine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the view of different groups or individuals</w:t>
            </w:r>
          </w:p>
        </w:tc>
      </w:tr>
      <w:tr w:rsidR="0092394B" w:rsidRPr="009A1013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A1.8 communicate their ideas, arguments, and conclusions using various formats and styles, as appropriate for the audience and purpose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com</w:t>
            </w:r>
            <w:r w:rsid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municate clearly in a paragraph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communicate clearly 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my justification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which event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 turning point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in a paragraph</w:t>
            </w:r>
          </w:p>
        </w:tc>
      </w:tr>
    </w:tbl>
    <w:p w:rsidR="00373672" w:rsidRDefault="006C5453">
      <w:pPr>
        <w:rPr>
          <w:b/>
        </w:rPr>
      </w:pPr>
      <w:r>
        <w:rPr>
          <w:b/>
        </w:rPr>
        <w:t>Due Date: _____________________________________</w:t>
      </w:r>
      <w:r w:rsidR="00373672">
        <w:rPr>
          <w:b/>
        </w:rPr>
        <w:br w:type="page"/>
      </w:r>
    </w:p>
    <w:p w:rsidR="00373672" w:rsidRPr="001E7D6A" w:rsidRDefault="00373672" w:rsidP="001E7D6A">
      <w:pPr>
        <w:jc w:val="center"/>
        <w:rPr>
          <w:b/>
        </w:rPr>
      </w:pPr>
      <w:r>
        <w:rPr>
          <w:b/>
        </w:rPr>
        <w:lastRenderedPageBreak/>
        <w:t>Rubric for CHY4U Timeline with Attitude</w:t>
      </w:r>
    </w:p>
    <w:p w:rsidR="00CF1A06" w:rsidRPr="001E7D6A" w:rsidRDefault="001E7D6A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1E7D6A" w:rsidTr="00677305">
        <w:tc>
          <w:tcPr>
            <w:tcW w:w="2552" w:type="dxa"/>
          </w:tcPr>
          <w:p w:rsidR="00CF1A06" w:rsidRPr="00677305" w:rsidRDefault="00CF1A06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1E7D6A" w:rsidTr="00677305">
        <w:tc>
          <w:tcPr>
            <w:tcW w:w="2552" w:type="dxa"/>
          </w:tcPr>
          <w:p w:rsidR="00CF1A06" w:rsidRPr="00BB7D14" w:rsidRDefault="00CF1A06" w:rsidP="00CF1A06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:rsidR="00CF1A06" w:rsidRPr="00BB7D14" w:rsidRDefault="00CF1A06" w:rsidP="00CF1A06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:rsidR="002B52F8" w:rsidRPr="00BB7D14" w:rsidRDefault="00E1564F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Writes c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oncise yet accurate summaries of the chosen</w:t>
            </w:r>
            <w:r w:rsidR="00CF1A06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events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. </w:t>
            </w:r>
          </w:p>
          <w:p w:rsidR="002B52F8" w:rsidRPr="00BB7D14" w:rsidRDefault="002B52F8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CF1A06" w:rsidRPr="00BB7D14" w:rsidRDefault="00CF1A06" w:rsidP="00CF1A06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5C72" w:rsidRPr="00BB7D14" w:rsidRDefault="00675C72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</w:t>
            </w:r>
            <w:r w:rsidR="00BB7D14" w:rsidRPr="00BB7D14">
              <w:rPr>
                <w:rFonts w:ascii="Arial" w:hAnsi="Arial" w:cs="Arial"/>
                <w:color w:val="000000"/>
                <w:sz w:val="16"/>
              </w:rPr>
              <w:t>,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 xml:space="preserve"> showing “big picture” understanding</w:t>
            </w:r>
          </w:p>
        </w:tc>
        <w:tc>
          <w:tcPr>
            <w:tcW w:w="1701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:rsidR="00CF1A06" w:rsidRPr="00BB7D14" w:rsidRDefault="00CF1A06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:rsidR="00675C72" w:rsidRPr="00BB7D14" w:rsidRDefault="00675C72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>. Doesn’t seem familiar with the “big picture”</w:t>
            </w: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677305" w:rsidRPr="00BB7D14" w:rsidRDefault="00677305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1E7D6A" w:rsidTr="00677305">
        <w:tc>
          <w:tcPr>
            <w:tcW w:w="2552" w:type="dxa"/>
          </w:tcPr>
          <w:p w:rsidR="00342282" w:rsidRPr="00BB7D14" w:rsidRDefault="00342282" w:rsidP="00342282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:rsidR="00342282" w:rsidRPr="00BB7D14" w:rsidRDefault="00342282" w:rsidP="00342282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and labels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visual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975FE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that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represent progress and decline 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and place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F11A26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events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appropriate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location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timeline</w:t>
            </w:r>
          </w:p>
          <w:p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:rsidR="00CF1A06" w:rsidRPr="00BB7D14" w:rsidRDefault="00CF1A06" w:rsidP="00342282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interesting and appropriate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(c</w:t>
            </w:r>
            <w:r w:rsidR="00D85449" w:rsidRPr="00BB7D14">
              <w:rPr>
                <w:sz w:val="16"/>
              </w:rPr>
              <w:t>aptions clearly identify visuals</w:t>
            </w:r>
            <w:r w:rsidR="00D85449">
              <w:rPr>
                <w:sz w:val="16"/>
              </w:rPr>
              <w:t>)</w:t>
            </w:r>
          </w:p>
          <w:p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675C72" w:rsidRPr="00BB7D14" w:rsidRDefault="00A945F5" w:rsidP="00A945F5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a high degree of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>Insightful choices</w:t>
            </w:r>
            <w:r>
              <w:rPr>
                <w:sz w:val="16"/>
              </w:rPr>
              <w:t xml:space="preserve"> of events</w:t>
            </w:r>
            <w:r w:rsidR="00335359" w:rsidRPr="00BB7D14">
              <w:rPr>
                <w:sz w:val="16"/>
              </w:rPr>
              <w:t>, precise placement</w:t>
            </w:r>
            <w:r>
              <w:rPr>
                <w:sz w:val="16"/>
              </w:rPr>
              <w:t xml:space="preserve"> on creatively</w:t>
            </w:r>
            <w:r w:rsidR="00D9142D">
              <w:rPr>
                <w:sz w:val="16"/>
              </w:rPr>
              <w:t xml:space="preserve"> </w:t>
            </w:r>
            <w:r>
              <w:rPr>
                <w:sz w:val="16"/>
              </w:rPr>
              <w:t>described scales)</w:t>
            </w:r>
          </w:p>
        </w:tc>
        <w:tc>
          <w:tcPr>
            <w:tcW w:w="1701" w:type="dxa"/>
          </w:tcPr>
          <w:p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appropriate yet expected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</w:t>
            </w:r>
            <w:r w:rsidR="00D85449" w:rsidRPr="00BB7D14">
              <w:rPr>
                <w:sz w:val="16"/>
              </w:rPr>
              <w:t>Captions identify visuals</w:t>
            </w:r>
            <w:r w:rsidR="00D85449">
              <w:rPr>
                <w:sz w:val="16"/>
              </w:rPr>
              <w:t>)</w:t>
            </w:r>
          </w:p>
          <w:p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A945F5" w:rsidRPr="00BB7D14" w:rsidRDefault="00A945F5" w:rsidP="00A945F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considerable effectiveness</w:t>
            </w:r>
          </w:p>
          <w:p w:rsidR="00A945F5" w:rsidRPr="00BB7D14" w:rsidRDefault="00A945F5" w:rsidP="00A945F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BB7D14">
              <w:rPr>
                <w:sz w:val="16"/>
              </w:rPr>
              <w:t>Appropriate choices</w:t>
            </w:r>
            <w:r w:rsidR="00AB0232">
              <w:rPr>
                <w:sz w:val="16"/>
              </w:rPr>
              <w:t xml:space="preserve"> of events</w:t>
            </w:r>
            <w:r w:rsidRPr="00BB7D14">
              <w:rPr>
                <w:sz w:val="16"/>
              </w:rPr>
              <w:t>, appropriate placement</w:t>
            </w:r>
            <w:r>
              <w:rPr>
                <w:sz w:val="16"/>
              </w:rPr>
              <w:t xml:space="preserve"> on described scales)</w:t>
            </w:r>
          </w:p>
          <w:p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BB7D14" w:rsidRPr="00BB7D14" w:rsidRDefault="00BB7D14" w:rsidP="00342282">
            <w:pPr>
              <w:rPr>
                <w:sz w:val="16"/>
              </w:rPr>
            </w:pPr>
          </w:p>
          <w:p w:rsidR="00BB7D14" w:rsidRPr="00BB7D14" w:rsidRDefault="00BB7D14" w:rsidP="00A945F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acceptable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(</w:t>
            </w:r>
            <w:r w:rsidR="00D85449" w:rsidRPr="00BB7D14">
              <w:rPr>
                <w:sz w:val="16"/>
              </w:rPr>
              <w:t>Captions somewhat identify visuals</w:t>
            </w:r>
            <w:r w:rsidR="00D85449">
              <w:rPr>
                <w:sz w:val="16"/>
              </w:rPr>
              <w:t>)</w:t>
            </w:r>
          </w:p>
          <w:p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:rsidR="00CF1A06" w:rsidRPr="00BB7D14" w:rsidRDefault="00AB0232" w:rsidP="00AB023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some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ED3A77" w:rsidRPr="00BB7D14">
              <w:rPr>
                <w:sz w:val="16"/>
              </w:rPr>
              <w:t>Some</w:t>
            </w:r>
            <w:r w:rsidR="00BB7D14" w:rsidRPr="00BB7D14">
              <w:rPr>
                <w:sz w:val="16"/>
              </w:rPr>
              <w:t>what</w:t>
            </w:r>
            <w:r w:rsidR="00ED3A77" w:rsidRPr="00BB7D14">
              <w:rPr>
                <w:sz w:val="16"/>
              </w:rPr>
              <w:t xml:space="preserve"> useful choices</w:t>
            </w:r>
            <w:r>
              <w:rPr>
                <w:sz w:val="16"/>
              </w:rPr>
              <w:t xml:space="preserve"> of events</w:t>
            </w:r>
            <w:r w:rsidR="00BB7D14" w:rsidRPr="00BB7D14">
              <w:rPr>
                <w:sz w:val="16"/>
              </w:rPr>
              <w:t xml:space="preserve">, somewhat expected scale </w:t>
            </w:r>
            <w:r>
              <w:rPr>
                <w:sz w:val="16"/>
              </w:rPr>
              <w:t>)</w:t>
            </w:r>
          </w:p>
        </w:tc>
        <w:tc>
          <w:tcPr>
            <w:tcW w:w="1843" w:type="dxa"/>
          </w:tcPr>
          <w:p w:rsidR="00D85449" w:rsidRPr="00BB7D14" w:rsidRDefault="00342282" w:rsidP="00D85449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Select</w:t>
            </w:r>
            <w:r w:rsidR="00661834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visual sources </w:t>
            </w:r>
            <w:r w:rsidR="00D85449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of limited relevance (</w:t>
            </w:r>
            <w:r w:rsidR="00D85449" w:rsidRPr="00BB7D14">
              <w:rPr>
                <w:sz w:val="16"/>
              </w:rPr>
              <w:t>Captions do not adequately identify visuals</w:t>
            </w:r>
            <w:r w:rsidR="00D85449">
              <w:rPr>
                <w:sz w:val="16"/>
              </w:rPr>
              <w:t xml:space="preserve"> – reader has to go searching)</w:t>
            </w:r>
          </w:p>
          <w:p w:rsidR="00D85449" w:rsidRDefault="00D85449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  <w:p w:rsidR="00342282" w:rsidRPr="00BB7D14" w:rsidRDefault="00AB0232" w:rsidP="00675C7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little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 xml:space="preserve">Choices </w:t>
            </w:r>
            <w:r>
              <w:rPr>
                <w:sz w:val="16"/>
              </w:rPr>
              <w:t xml:space="preserve">of events </w:t>
            </w:r>
            <w:r w:rsidR="00675C72" w:rsidRPr="00BB7D14">
              <w:rPr>
                <w:sz w:val="16"/>
              </w:rPr>
              <w:t>are very basic, similar each time, unknown</w:t>
            </w:r>
            <w:r w:rsidR="00335359" w:rsidRPr="00BB7D14">
              <w:rPr>
                <w:sz w:val="16"/>
              </w:rPr>
              <w:t>, vaguely labelled scale</w:t>
            </w:r>
            <w:r>
              <w:rPr>
                <w:sz w:val="16"/>
              </w:rPr>
              <w:t>)</w:t>
            </w:r>
          </w:p>
          <w:p w:rsidR="00677305" w:rsidRPr="00BB7D14" w:rsidRDefault="00677305" w:rsidP="00675C72">
            <w:pPr>
              <w:rPr>
                <w:sz w:val="16"/>
              </w:rPr>
            </w:pPr>
          </w:p>
          <w:p w:rsidR="00677305" w:rsidRPr="00BB7D14" w:rsidRDefault="00677305" w:rsidP="00675C7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1E7D6A" w:rsidRPr="0033495E" w:rsidTr="00677305">
        <w:tc>
          <w:tcPr>
            <w:tcW w:w="2552" w:type="dxa"/>
          </w:tcPr>
          <w:p w:rsidR="001E7D6A" w:rsidRPr="0033495E" w:rsidRDefault="001E7D6A" w:rsidP="001E7D6A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:rsidR="001E7D6A" w:rsidRPr="0033495E" w:rsidRDefault="00E1564F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historical thinking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concepts of </w:t>
            </w:r>
            <w:r w:rsidR="001E7D6A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continuity and change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(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through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descriptions of progress and decline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)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and </w:t>
            </w:r>
            <w:r w:rsidR="0033495E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historical perspective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(views of different people)</w:t>
            </w:r>
          </w:p>
          <w:p w:rsidR="00CF1A06" w:rsidRPr="0033495E" w:rsidRDefault="00CF1A06" w:rsidP="00E107B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 xml:space="preserve"> HTCs consistently, thoroughly, accurately and with relevance</w:t>
            </w:r>
          </w:p>
          <w:p w:rsidR="00335359" w:rsidRPr="00BB7D14" w:rsidRDefault="003353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35359" w:rsidRPr="00BB7D14" w:rsidRDefault="00335359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 w:rsidR="006865B2"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</w:t>
            </w:r>
            <w:r w:rsidR="006865B2" w:rsidRPr="00BB7D14">
              <w:rPr>
                <w:sz w:val="16"/>
              </w:rPr>
              <w:t xml:space="preserve">consistently </w:t>
            </w:r>
            <w:r w:rsidRPr="00BB7D14">
              <w:rPr>
                <w:sz w:val="16"/>
              </w:rPr>
              <w:t>clear</w:t>
            </w:r>
            <w:r w:rsidR="00BB7D14" w:rsidRPr="00BB7D14">
              <w:rPr>
                <w:sz w:val="16"/>
              </w:rPr>
              <w:t xml:space="preserve"> </w:t>
            </w:r>
          </w:p>
          <w:p w:rsidR="00BB7D14" w:rsidRDefault="00BB7D14" w:rsidP="00BB7D14">
            <w:pPr>
              <w:rPr>
                <w:sz w:val="16"/>
              </w:rPr>
            </w:pPr>
          </w:p>
          <w:p w:rsidR="00335359" w:rsidRPr="00BB7D14" w:rsidRDefault="00335359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  <w:r w:rsidRPr="00BB7D14">
              <w:rPr>
                <w:sz w:val="16"/>
              </w:rPr>
              <w:t xml:space="preserve"> clearly</w:t>
            </w:r>
          </w:p>
        </w:tc>
        <w:tc>
          <w:tcPr>
            <w:tcW w:w="1701" w:type="dxa"/>
          </w:tcPr>
          <w:p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considerable success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BB7D14" w:rsidRDefault="006865B2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</w:p>
        </w:tc>
        <w:tc>
          <w:tcPr>
            <w:tcW w:w="1560" w:type="dxa"/>
          </w:tcPr>
          <w:p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 with some success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sometimes shown</w:t>
            </w:r>
          </w:p>
        </w:tc>
        <w:tc>
          <w:tcPr>
            <w:tcW w:w="1843" w:type="dxa"/>
          </w:tcPr>
          <w:p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little success</w:t>
            </w:r>
          </w:p>
          <w:p w:rsidR="00BB7D14" w:rsidRPr="00BB7D14" w:rsidRDefault="00BB7D14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D14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:rsidR="006865B2" w:rsidRPr="006865B2" w:rsidRDefault="006865B2">
            <w:pPr>
              <w:rPr>
                <w:sz w:val="16"/>
              </w:rPr>
            </w:pPr>
          </w:p>
          <w:p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 not well identified or confusing</w:t>
            </w:r>
          </w:p>
          <w:p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F1A06" w:rsidRPr="0033495E" w:rsidRDefault="00CF1A06"/>
        </w:tc>
      </w:tr>
      <w:tr w:rsidR="001E7D6A" w:rsidTr="00677305">
        <w:tc>
          <w:tcPr>
            <w:tcW w:w="2552" w:type="dxa"/>
          </w:tcPr>
          <w:p w:rsidR="001E7D6A" w:rsidRPr="0033495E" w:rsidRDefault="001E7D6A" w:rsidP="001E7D6A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 xml:space="preserve">Communication </w:t>
            </w:r>
          </w:p>
          <w:p w:rsidR="00CF1A06" w:rsidRPr="0033495E" w:rsidRDefault="00FF2DF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C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ommunicates the just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ification for which event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6865B2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was a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turning point in paragrap</w:t>
            </w:r>
            <w:r w:rsidR="00373672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h</w:t>
            </w:r>
          </w:p>
          <w:p w:rsidR="00ED3A77" w:rsidRPr="0033495E" w:rsidRDefault="00ED3A7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:rsidR="00ED3A77" w:rsidRPr="0033495E" w:rsidRDefault="00ED3A77" w:rsidP="001E7D6A">
            <w:pPr>
              <w:rPr>
                <w:sz w:val="18"/>
              </w:rPr>
            </w:pPr>
            <w:r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 HTC language</w:t>
            </w:r>
            <w:r w:rsidR="00466B9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thoughtfully</w:t>
            </w:r>
            <w:r w:rsidR="00F11A26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(especially historical perspectives and continuity/change)</w:t>
            </w:r>
          </w:p>
        </w:tc>
        <w:tc>
          <w:tcPr>
            <w:tcW w:w="1984" w:type="dxa"/>
          </w:tcPr>
          <w:p w:rsidR="00CF1A06" w:rsidRPr="00BB7D14" w:rsidRDefault="001E7D6A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Clearly 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(defends) 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>– thoroughly explained/proved</w:t>
            </w:r>
            <w:r w:rsidR="00FF2DF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showing difference between before and after in pace and/or direction of change</w:t>
            </w:r>
          </w:p>
          <w:p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Appropriately chosen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diverse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HTC language used throughout timeline</w:t>
            </w:r>
          </w:p>
        </w:tc>
        <w:tc>
          <w:tcPr>
            <w:tcW w:w="1701" w:type="dxa"/>
          </w:tcPr>
          <w:p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Mostly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EE11DE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 w:rsidP="006865B2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in timeline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, a bit expected</w:t>
            </w:r>
          </w:p>
        </w:tc>
        <w:tc>
          <w:tcPr>
            <w:tcW w:w="1560" w:type="dxa"/>
          </w:tcPr>
          <w:p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Somewhat justifies turning point (more summarized than justified)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with some success</w:t>
            </w:r>
          </w:p>
        </w:tc>
        <w:tc>
          <w:tcPr>
            <w:tcW w:w="1843" w:type="dxa"/>
          </w:tcPr>
          <w:p w:rsidR="00CF1A06" w:rsidRPr="00BB7D14" w:rsidRDefault="00EE1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Hardly justifies turning point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(states, doesn’t justify)</w:t>
            </w: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Little HTC language used, or too much HTC language misused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>, or very basic</w:t>
            </w: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7305" w:rsidRPr="00BB7D14" w:rsidRDefault="00677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1A06" w:rsidRDefault="00CF1A06"/>
        </w:tc>
      </w:tr>
      <w:tr w:rsidR="00677305" w:rsidTr="00677305">
        <w:tc>
          <w:tcPr>
            <w:tcW w:w="2552" w:type="dxa"/>
          </w:tcPr>
          <w:p w:rsidR="00677305" w:rsidRPr="00677305" w:rsidRDefault="00677305" w:rsidP="001E7D6A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B74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Scores</w:t>
            </w:r>
            <w:proofErr w:type="spellEnd"/>
          </w:p>
        </w:tc>
        <w:tc>
          <w:tcPr>
            <w:tcW w:w="8080" w:type="dxa"/>
            <w:gridSpan w:val="5"/>
          </w:tcPr>
          <w:p w:rsidR="00677305" w:rsidRDefault="00B74242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:rsidR="00305B2B" w:rsidRDefault="00305B2B"/>
    <w:sectPr w:rsidR="00305B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64" w:rsidRDefault="00BC0064" w:rsidP="00BC0064">
      <w:pPr>
        <w:spacing w:after="0" w:line="240" w:lineRule="auto"/>
      </w:pPr>
      <w:r>
        <w:separator/>
      </w:r>
    </w:p>
  </w:endnote>
  <w:endnote w:type="continuationSeparator" w:id="0">
    <w:p w:rsidR="00BC0064" w:rsidRDefault="00BC0064" w:rsidP="00B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64" w:rsidRDefault="00BC0064" w:rsidP="00BC0064">
      <w:pPr>
        <w:spacing w:after="0" w:line="240" w:lineRule="auto"/>
      </w:pPr>
      <w:r>
        <w:separator/>
      </w:r>
    </w:p>
  </w:footnote>
  <w:footnote w:type="continuationSeparator" w:id="0">
    <w:p w:rsidR="00BC0064" w:rsidRDefault="00BC0064" w:rsidP="00B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64" w:rsidRPr="00BC0064" w:rsidRDefault="00BC0064">
    <w:pPr>
      <w:pStyle w:val="Header"/>
      <w:rPr>
        <w:sz w:val="16"/>
      </w:rPr>
    </w:pPr>
    <w:proofErr w:type="spellStart"/>
    <w:r w:rsidRPr="00BC0064">
      <w:rPr>
        <w:sz w:val="16"/>
      </w:rPr>
      <w:t>Sem</w:t>
    </w:r>
    <w:proofErr w:type="spellEnd"/>
    <w:r w:rsidRPr="00BC0064">
      <w:rPr>
        <w:sz w:val="16"/>
      </w:rPr>
      <w:t xml:space="preserve"> </w:t>
    </w:r>
    <w:r w:rsidR="00D72A05">
      <w:rPr>
        <w:sz w:val="16"/>
      </w:rPr>
      <w:t>2</w:t>
    </w:r>
    <w:r w:rsidRPr="00BC0064">
      <w:rPr>
        <w:sz w:val="16"/>
      </w:rPr>
      <w:t>, 201</w:t>
    </w:r>
    <w:r w:rsidR="00D72A05">
      <w:rPr>
        <w:sz w:val="16"/>
      </w:rPr>
      <w:t>8</w:t>
    </w:r>
    <w:r w:rsidRPr="00BC0064">
      <w:rPr>
        <w:sz w:val="16"/>
      </w:rPr>
      <w:t>-1</w:t>
    </w:r>
    <w:r w:rsidR="00D72A05">
      <w:rPr>
        <w:sz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084"/>
    <w:multiLevelType w:val="hybridMultilevel"/>
    <w:tmpl w:val="3146B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50B2A"/>
    <w:multiLevelType w:val="multilevel"/>
    <w:tmpl w:val="181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B"/>
    <w:rsid w:val="00023FD8"/>
    <w:rsid w:val="0009176D"/>
    <w:rsid w:val="000B7A89"/>
    <w:rsid w:val="000E6F0E"/>
    <w:rsid w:val="00114382"/>
    <w:rsid w:val="00190D70"/>
    <w:rsid w:val="001D6300"/>
    <w:rsid w:val="001E7D6A"/>
    <w:rsid w:val="00206957"/>
    <w:rsid w:val="00274A04"/>
    <w:rsid w:val="002B52F8"/>
    <w:rsid w:val="00305B2B"/>
    <w:rsid w:val="0033495E"/>
    <w:rsid w:val="00335359"/>
    <w:rsid w:val="00342282"/>
    <w:rsid w:val="00373672"/>
    <w:rsid w:val="00466B9E"/>
    <w:rsid w:val="004B4DAF"/>
    <w:rsid w:val="005D271A"/>
    <w:rsid w:val="00661834"/>
    <w:rsid w:val="00675C72"/>
    <w:rsid w:val="00677305"/>
    <w:rsid w:val="006865B2"/>
    <w:rsid w:val="006C5453"/>
    <w:rsid w:val="006C5AAE"/>
    <w:rsid w:val="007361F7"/>
    <w:rsid w:val="008E4766"/>
    <w:rsid w:val="0092394B"/>
    <w:rsid w:val="00975FE1"/>
    <w:rsid w:val="009A1013"/>
    <w:rsid w:val="00A945F5"/>
    <w:rsid w:val="00AB0232"/>
    <w:rsid w:val="00B74242"/>
    <w:rsid w:val="00B841E5"/>
    <w:rsid w:val="00BB7D14"/>
    <w:rsid w:val="00BC0064"/>
    <w:rsid w:val="00C36E45"/>
    <w:rsid w:val="00C77AA9"/>
    <w:rsid w:val="00CF1A06"/>
    <w:rsid w:val="00D37B75"/>
    <w:rsid w:val="00D72A05"/>
    <w:rsid w:val="00D85449"/>
    <w:rsid w:val="00D9142D"/>
    <w:rsid w:val="00E107B4"/>
    <w:rsid w:val="00E13300"/>
    <w:rsid w:val="00E1564F"/>
    <w:rsid w:val="00EA5E1B"/>
    <w:rsid w:val="00ED3A77"/>
    <w:rsid w:val="00EE11DE"/>
    <w:rsid w:val="00F11A26"/>
    <w:rsid w:val="00FF11D2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9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11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0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8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0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8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84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12</cp:revision>
  <dcterms:created xsi:type="dcterms:W3CDTF">2019-03-04T22:23:00Z</dcterms:created>
  <dcterms:modified xsi:type="dcterms:W3CDTF">2019-03-04T22:45:00Z</dcterms:modified>
</cp:coreProperties>
</file>