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391B" w14:textId="61E27354" w:rsidR="002B166A" w:rsidRDefault="00712AA3" w:rsidP="00712AA3">
      <w:pPr>
        <w:autoSpaceDE w:val="0"/>
        <w:autoSpaceDN w:val="0"/>
        <w:adjustRightInd w:val="0"/>
        <w:spacing w:after="0" w:line="240" w:lineRule="auto"/>
        <w:jc w:val="center"/>
        <w:rPr>
          <w:rFonts w:ascii="Arial-ItalicMT" w:hAnsi="Arial-ItalicMT" w:cs="Arial-ItalicMT"/>
          <w:b/>
          <w:iCs/>
          <w:sz w:val="28"/>
          <w:szCs w:val="28"/>
        </w:rPr>
      </w:pPr>
      <w:r w:rsidRPr="00712AA3">
        <w:rPr>
          <w:rFonts w:ascii="Arial-ItalicMT" w:hAnsi="Arial-ItalicMT" w:cs="Arial-ItalicMT"/>
          <w:b/>
          <w:iCs/>
          <w:sz w:val="28"/>
          <w:szCs w:val="28"/>
        </w:rPr>
        <w:t xml:space="preserve">CHW3M </w:t>
      </w:r>
      <w:r w:rsidR="004C04E9">
        <w:rPr>
          <w:rFonts w:ascii="Arial-ItalicMT" w:hAnsi="Arial-ItalicMT" w:cs="Arial-ItalicMT"/>
          <w:b/>
          <w:iCs/>
          <w:sz w:val="28"/>
          <w:szCs w:val="28"/>
        </w:rPr>
        <w:t>Historical Perspectives on Democracy</w:t>
      </w:r>
    </w:p>
    <w:p w14:paraId="15CD14A2" w14:textId="77777777" w:rsidR="004C04E9" w:rsidRDefault="004C04E9" w:rsidP="00712AA3">
      <w:pPr>
        <w:autoSpaceDE w:val="0"/>
        <w:autoSpaceDN w:val="0"/>
        <w:adjustRightInd w:val="0"/>
        <w:spacing w:after="0" w:line="240" w:lineRule="auto"/>
        <w:jc w:val="center"/>
        <w:rPr>
          <w:rFonts w:ascii="Arial-ItalicMT" w:hAnsi="Arial-ItalicMT" w:cs="Arial-ItalicMT"/>
          <w:b/>
          <w:iCs/>
          <w:sz w:val="28"/>
          <w:szCs w:val="28"/>
        </w:rPr>
      </w:pPr>
    </w:p>
    <w:p w14:paraId="55CC7B52" w14:textId="476F5999" w:rsidR="00F9630F" w:rsidRPr="00712AA3" w:rsidRDefault="00712AA3" w:rsidP="00712AA3">
      <w:pPr>
        <w:autoSpaceDE w:val="0"/>
        <w:autoSpaceDN w:val="0"/>
        <w:adjustRightInd w:val="0"/>
        <w:spacing w:after="0" w:line="240" w:lineRule="auto"/>
        <w:jc w:val="center"/>
        <w:rPr>
          <w:rFonts w:ascii="Arial-ItalicMT" w:hAnsi="Arial-ItalicMT" w:cs="Arial-ItalicMT"/>
          <w:b/>
          <w:iCs/>
          <w:sz w:val="28"/>
          <w:szCs w:val="28"/>
        </w:rPr>
      </w:pPr>
      <w:r w:rsidRPr="00712AA3">
        <w:rPr>
          <w:rFonts w:ascii="Arial-ItalicMT" w:hAnsi="Arial-ItalicMT" w:cs="Arial-ItalicMT"/>
          <w:b/>
          <w:iCs/>
          <w:sz w:val="28"/>
          <w:szCs w:val="28"/>
        </w:rPr>
        <w:t>Athenian Population Breakdown</w:t>
      </w:r>
    </w:p>
    <w:p w14:paraId="079B45D6" w14:textId="77777777" w:rsidR="00712AA3" w:rsidRDefault="00712AA3" w:rsidP="00F9630F">
      <w:pPr>
        <w:autoSpaceDE w:val="0"/>
        <w:autoSpaceDN w:val="0"/>
        <w:adjustRightInd w:val="0"/>
        <w:spacing w:after="0" w:line="240" w:lineRule="auto"/>
        <w:rPr>
          <w:rFonts w:ascii="Arial-ItalicMT" w:hAnsi="Arial-ItalicMT" w:cs="Arial-ItalicMT"/>
          <w:i/>
          <w:iCs/>
          <w:sz w:val="28"/>
          <w:szCs w:val="28"/>
        </w:rPr>
      </w:pPr>
    </w:p>
    <w:tbl>
      <w:tblPr>
        <w:tblStyle w:val="TableGrid"/>
        <w:tblW w:w="0" w:type="auto"/>
        <w:tblLook w:val="04A0" w:firstRow="1" w:lastRow="0" w:firstColumn="1" w:lastColumn="0" w:noHBand="0" w:noVBand="1"/>
      </w:tblPr>
      <w:tblGrid>
        <w:gridCol w:w="2337"/>
        <w:gridCol w:w="2337"/>
        <w:gridCol w:w="2338"/>
        <w:gridCol w:w="2338"/>
      </w:tblGrid>
      <w:tr w:rsidR="00F9630F" w:rsidRPr="00F9630F" w14:paraId="3CE011D3" w14:textId="77777777" w:rsidTr="00F9630F">
        <w:tc>
          <w:tcPr>
            <w:tcW w:w="2337" w:type="dxa"/>
          </w:tcPr>
          <w:p w14:paraId="658BB3AC" w14:textId="6AC3DFA8" w:rsidR="00F9630F" w:rsidRPr="00F9630F" w:rsidRDefault="00F9630F" w:rsidP="00F9630F">
            <w:pPr>
              <w:autoSpaceDE w:val="0"/>
              <w:autoSpaceDN w:val="0"/>
              <w:adjustRightInd w:val="0"/>
              <w:rPr>
                <w:rFonts w:ascii="Arial-ItalicMT" w:hAnsi="Arial-ItalicMT" w:cs="Arial-ItalicMT"/>
                <w:b/>
                <w:i/>
                <w:iCs/>
                <w:sz w:val="28"/>
                <w:szCs w:val="28"/>
              </w:rPr>
            </w:pPr>
            <w:r w:rsidRPr="00F9630F">
              <w:rPr>
                <w:rFonts w:ascii="Arial-ItalicMT" w:hAnsi="Arial-ItalicMT" w:cs="Arial-ItalicMT"/>
                <w:b/>
                <w:i/>
                <w:iCs/>
                <w:sz w:val="28"/>
                <w:szCs w:val="28"/>
              </w:rPr>
              <w:t>Group</w:t>
            </w:r>
          </w:p>
        </w:tc>
        <w:tc>
          <w:tcPr>
            <w:tcW w:w="2337" w:type="dxa"/>
          </w:tcPr>
          <w:p w14:paraId="396A29AB" w14:textId="77777777" w:rsidR="00F9630F" w:rsidRPr="00F9630F" w:rsidRDefault="00F9630F" w:rsidP="00F9630F">
            <w:pPr>
              <w:autoSpaceDE w:val="0"/>
              <w:autoSpaceDN w:val="0"/>
              <w:adjustRightInd w:val="0"/>
              <w:rPr>
                <w:rFonts w:ascii="Arial-ItalicMT" w:hAnsi="Arial-ItalicMT" w:cs="Arial-ItalicMT"/>
                <w:b/>
                <w:i/>
                <w:iCs/>
                <w:sz w:val="28"/>
                <w:szCs w:val="28"/>
              </w:rPr>
            </w:pPr>
            <w:r w:rsidRPr="00F9630F">
              <w:rPr>
                <w:rFonts w:ascii="Arial-ItalicMT" w:hAnsi="Arial-ItalicMT" w:cs="Arial-ItalicMT"/>
                <w:b/>
                <w:i/>
                <w:iCs/>
                <w:sz w:val="28"/>
                <w:szCs w:val="28"/>
              </w:rPr>
              <w:t>Total Number</w:t>
            </w:r>
          </w:p>
          <w:p w14:paraId="38CD5F09" w14:textId="77777777" w:rsidR="00F9630F" w:rsidRPr="00F9630F" w:rsidRDefault="00F9630F" w:rsidP="00F9630F">
            <w:pPr>
              <w:autoSpaceDE w:val="0"/>
              <w:autoSpaceDN w:val="0"/>
              <w:adjustRightInd w:val="0"/>
              <w:rPr>
                <w:rFonts w:ascii="Arial-ItalicMT" w:hAnsi="Arial-ItalicMT" w:cs="Arial-ItalicMT"/>
                <w:b/>
                <w:i/>
                <w:iCs/>
                <w:sz w:val="28"/>
                <w:szCs w:val="28"/>
              </w:rPr>
            </w:pPr>
            <w:r w:rsidRPr="00F9630F">
              <w:rPr>
                <w:rFonts w:ascii="Arial-ItalicMT" w:hAnsi="Arial-ItalicMT" w:cs="Arial-ItalicMT"/>
                <w:b/>
                <w:i/>
                <w:iCs/>
                <w:sz w:val="28"/>
                <w:szCs w:val="28"/>
              </w:rPr>
              <w:t>of people</w:t>
            </w:r>
          </w:p>
          <w:p w14:paraId="3B78C286" w14:textId="77777777" w:rsidR="00F9630F" w:rsidRPr="00F9630F" w:rsidRDefault="00F9630F" w:rsidP="00F9630F">
            <w:pPr>
              <w:autoSpaceDE w:val="0"/>
              <w:autoSpaceDN w:val="0"/>
              <w:adjustRightInd w:val="0"/>
              <w:rPr>
                <w:rFonts w:ascii="Arial-ItalicMT" w:hAnsi="Arial-ItalicMT" w:cs="Arial-ItalicMT"/>
                <w:b/>
                <w:i/>
                <w:iCs/>
                <w:sz w:val="28"/>
                <w:szCs w:val="28"/>
              </w:rPr>
            </w:pPr>
          </w:p>
        </w:tc>
        <w:tc>
          <w:tcPr>
            <w:tcW w:w="2338" w:type="dxa"/>
          </w:tcPr>
          <w:p w14:paraId="346E969C" w14:textId="77777777" w:rsidR="00F9630F" w:rsidRPr="00F9630F" w:rsidRDefault="00F9630F" w:rsidP="00F9630F">
            <w:pPr>
              <w:autoSpaceDE w:val="0"/>
              <w:autoSpaceDN w:val="0"/>
              <w:adjustRightInd w:val="0"/>
              <w:rPr>
                <w:rFonts w:ascii="Arial-ItalicMT" w:hAnsi="Arial-ItalicMT" w:cs="Arial-ItalicMT"/>
                <w:b/>
                <w:i/>
                <w:iCs/>
                <w:sz w:val="28"/>
                <w:szCs w:val="28"/>
              </w:rPr>
            </w:pPr>
            <w:r w:rsidRPr="00F9630F">
              <w:rPr>
                <w:rFonts w:ascii="Arial-ItalicMT" w:hAnsi="Arial-ItalicMT" w:cs="Arial-ItalicMT"/>
                <w:b/>
                <w:i/>
                <w:iCs/>
                <w:sz w:val="28"/>
                <w:szCs w:val="28"/>
              </w:rPr>
              <w:t>Percentage of</w:t>
            </w:r>
          </w:p>
          <w:p w14:paraId="1194A6E8" w14:textId="77777777" w:rsidR="00F9630F" w:rsidRPr="00F9630F" w:rsidRDefault="00F9630F" w:rsidP="00F9630F">
            <w:pPr>
              <w:autoSpaceDE w:val="0"/>
              <w:autoSpaceDN w:val="0"/>
              <w:adjustRightInd w:val="0"/>
              <w:rPr>
                <w:rFonts w:ascii="Arial-ItalicMT" w:hAnsi="Arial-ItalicMT" w:cs="Arial-ItalicMT"/>
                <w:b/>
                <w:i/>
                <w:iCs/>
                <w:sz w:val="28"/>
                <w:szCs w:val="28"/>
              </w:rPr>
            </w:pPr>
            <w:r w:rsidRPr="00F9630F">
              <w:rPr>
                <w:rFonts w:ascii="Arial-ItalicMT" w:hAnsi="Arial-ItalicMT" w:cs="Arial-ItalicMT"/>
                <w:b/>
                <w:i/>
                <w:iCs/>
                <w:sz w:val="28"/>
                <w:szCs w:val="28"/>
              </w:rPr>
              <w:t>the population</w:t>
            </w:r>
          </w:p>
          <w:p w14:paraId="22CB5DE2" w14:textId="77777777" w:rsidR="00F9630F" w:rsidRPr="00F9630F" w:rsidRDefault="00F9630F" w:rsidP="00F9630F">
            <w:pPr>
              <w:autoSpaceDE w:val="0"/>
              <w:autoSpaceDN w:val="0"/>
              <w:adjustRightInd w:val="0"/>
              <w:rPr>
                <w:rFonts w:ascii="Arial-ItalicMT" w:hAnsi="Arial-ItalicMT" w:cs="Arial-ItalicMT"/>
                <w:b/>
                <w:i/>
                <w:iCs/>
                <w:sz w:val="28"/>
                <w:szCs w:val="28"/>
              </w:rPr>
            </w:pPr>
          </w:p>
        </w:tc>
        <w:tc>
          <w:tcPr>
            <w:tcW w:w="2338" w:type="dxa"/>
          </w:tcPr>
          <w:p w14:paraId="6DEBEE6C" w14:textId="77777777" w:rsidR="00F9630F" w:rsidRPr="00F9630F" w:rsidRDefault="00F9630F" w:rsidP="00F9630F">
            <w:pPr>
              <w:autoSpaceDE w:val="0"/>
              <w:autoSpaceDN w:val="0"/>
              <w:adjustRightInd w:val="0"/>
              <w:rPr>
                <w:rFonts w:ascii="Arial-ItalicMT" w:hAnsi="Arial-ItalicMT" w:cs="Arial-ItalicMT"/>
                <w:b/>
                <w:i/>
                <w:iCs/>
                <w:sz w:val="28"/>
                <w:szCs w:val="28"/>
              </w:rPr>
            </w:pPr>
            <w:r w:rsidRPr="00F9630F">
              <w:rPr>
                <w:rFonts w:ascii="Arial-ItalicMT" w:hAnsi="Arial-ItalicMT" w:cs="Arial-ItalicMT"/>
                <w:b/>
                <w:i/>
                <w:iCs/>
                <w:sz w:val="28"/>
                <w:szCs w:val="28"/>
              </w:rPr>
              <w:t>Ability to vote</w:t>
            </w:r>
          </w:p>
          <w:p w14:paraId="6EDD5A5A" w14:textId="77777777" w:rsidR="00F9630F" w:rsidRPr="00F9630F" w:rsidRDefault="00F9630F" w:rsidP="00F9630F">
            <w:pPr>
              <w:autoSpaceDE w:val="0"/>
              <w:autoSpaceDN w:val="0"/>
              <w:adjustRightInd w:val="0"/>
              <w:rPr>
                <w:rFonts w:ascii="Arial-ItalicMT" w:hAnsi="Arial-ItalicMT" w:cs="Arial-ItalicMT"/>
                <w:b/>
                <w:i/>
                <w:iCs/>
                <w:sz w:val="28"/>
                <w:szCs w:val="28"/>
              </w:rPr>
            </w:pPr>
          </w:p>
        </w:tc>
      </w:tr>
      <w:tr w:rsidR="00F9630F" w14:paraId="49DF6B42" w14:textId="77777777" w:rsidTr="00F9630F">
        <w:tc>
          <w:tcPr>
            <w:tcW w:w="2337" w:type="dxa"/>
          </w:tcPr>
          <w:p w14:paraId="7B18B17A" w14:textId="11B86F24" w:rsidR="00F9630F" w:rsidRDefault="00F9630F" w:rsidP="00F9630F">
            <w:pPr>
              <w:autoSpaceDE w:val="0"/>
              <w:autoSpaceDN w:val="0"/>
              <w:adjustRightInd w:val="0"/>
              <w:rPr>
                <w:rFonts w:ascii="Arial-ItalicMT" w:hAnsi="Arial-ItalicMT" w:cs="Arial-ItalicMT"/>
                <w:i/>
                <w:iCs/>
                <w:sz w:val="28"/>
                <w:szCs w:val="28"/>
              </w:rPr>
            </w:pPr>
            <w:r>
              <w:rPr>
                <w:rFonts w:ascii="Arial-BoldMT" w:hAnsi="Arial-BoldMT" w:cs="Arial-BoldMT"/>
                <w:b/>
                <w:bCs/>
                <w:sz w:val="28"/>
                <w:szCs w:val="28"/>
              </w:rPr>
              <w:t>Citizen men</w:t>
            </w:r>
          </w:p>
        </w:tc>
        <w:tc>
          <w:tcPr>
            <w:tcW w:w="2337" w:type="dxa"/>
          </w:tcPr>
          <w:p w14:paraId="7D5D8FC0" w14:textId="180DF1E7"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29,900</w:t>
            </w:r>
          </w:p>
        </w:tc>
        <w:tc>
          <w:tcPr>
            <w:tcW w:w="2338" w:type="dxa"/>
          </w:tcPr>
          <w:p w14:paraId="0960B177" w14:textId="3CBC0C5D"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12%</w:t>
            </w:r>
          </w:p>
        </w:tc>
        <w:tc>
          <w:tcPr>
            <w:tcW w:w="2338" w:type="dxa"/>
          </w:tcPr>
          <w:p w14:paraId="66DFFD64" w14:textId="77777777" w:rsidR="00F9630F" w:rsidRDefault="00F9630F" w:rsidP="00F9630F">
            <w:pPr>
              <w:autoSpaceDE w:val="0"/>
              <w:autoSpaceDN w:val="0"/>
              <w:adjustRightInd w:val="0"/>
              <w:rPr>
                <w:rFonts w:ascii="ArialMT" w:hAnsi="ArialMT" w:cs="ArialMT"/>
                <w:sz w:val="28"/>
                <w:szCs w:val="28"/>
              </w:rPr>
            </w:pPr>
            <w:r>
              <w:rPr>
                <w:rFonts w:ascii="ArialMT" w:hAnsi="ArialMT" w:cs="ArialMT"/>
                <w:sz w:val="28"/>
                <w:szCs w:val="28"/>
              </w:rPr>
              <w:t>Yes</w:t>
            </w:r>
          </w:p>
          <w:p w14:paraId="5D84C752" w14:textId="77777777" w:rsidR="00F9630F" w:rsidRDefault="00F9630F" w:rsidP="00F9630F">
            <w:pPr>
              <w:autoSpaceDE w:val="0"/>
              <w:autoSpaceDN w:val="0"/>
              <w:adjustRightInd w:val="0"/>
              <w:rPr>
                <w:rFonts w:ascii="Arial-ItalicMT" w:hAnsi="Arial-ItalicMT" w:cs="Arial-ItalicMT"/>
                <w:i/>
                <w:iCs/>
                <w:sz w:val="28"/>
                <w:szCs w:val="28"/>
              </w:rPr>
            </w:pPr>
          </w:p>
        </w:tc>
      </w:tr>
      <w:tr w:rsidR="00F9630F" w14:paraId="2EE7D96B" w14:textId="77777777" w:rsidTr="00F9630F">
        <w:tc>
          <w:tcPr>
            <w:tcW w:w="2337" w:type="dxa"/>
          </w:tcPr>
          <w:p w14:paraId="1B228DFB" w14:textId="69D28391" w:rsidR="00F9630F" w:rsidRDefault="00F9630F" w:rsidP="00F9630F">
            <w:pPr>
              <w:autoSpaceDE w:val="0"/>
              <w:autoSpaceDN w:val="0"/>
              <w:adjustRightInd w:val="0"/>
              <w:rPr>
                <w:rFonts w:ascii="Arial-ItalicMT" w:hAnsi="Arial-ItalicMT" w:cs="Arial-ItalicMT"/>
                <w:i/>
                <w:iCs/>
                <w:sz w:val="28"/>
                <w:szCs w:val="28"/>
              </w:rPr>
            </w:pPr>
            <w:r>
              <w:rPr>
                <w:rFonts w:ascii="Arial-BoldMT" w:hAnsi="Arial-BoldMT" w:cs="Arial-BoldMT"/>
                <w:b/>
                <w:bCs/>
                <w:sz w:val="28"/>
                <w:szCs w:val="28"/>
              </w:rPr>
              <w:t>Citizen women</w:t>
            </w:r>
          </w:p>
        </w:tc>
        <w:tc>
          <w:tcPr>
            <w:tcW w:w="2337" w:type="dxa"/>
          </w:tcPr>
          <w:p w14:paraId="17ADA935" w14:textId="48D32E57"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29,900</w:t>
            </w:r>
          </w:p>
        </w:tc>
        <w:tc>
          <w:tcPr>
            <w:tcW w:w="2338" w:type="dxa"/>
          </w:tcPr>
          <w:p w14:paraId="7C41139E" w14:textId="14424523"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12%</w:t>
            </w:r>
          </w:p>
        </w:tc>
        <w:tc>
          <w:tcPr>
            <w:tcW w:w="2338" w:type="dxa"/>
          </w:tcPr>
          <w:p w14:paraId="679A8B88" w14:textId="2A00B031" w:rsidR="00F9630F" w:rsidRPr="00712AA3" w:rsidRDefault="00F9630F" w:rsidP="00F9630F">
            <w:pPr>
              <w:autoSpaceDE w:val="0"/>
              <w:autoSpaceDN w:val="0"/>
              <w:adjustRightInd w:val="0"/>
              <w:rPr>
                <w:rFonts w:ascii="Arial-ItalicMT" w:hAnsi="Arial-ItalicMT" w:cs="Arial-ItalicMT"/>
                <w:iCs/>
                <w:sz w:val="28"/>
                <w:szCs w:val="28"/>
              </w:rPr>
            </w:pPr>
            <w:r w:rsidRPr="00712AA3">
              <w:rPr>
                <w:rFonts w:ascii="Arial-ItalicMT" w:hAnsi="Arial-ItalicMT" w:cs="Arial-ItalicMT"/>
                <w:iCs/>
                <w:sz w:val="28"/>
                <w:szCs w:val="28"/>
              </w:rPr>
              <w:t>No</w:t>
            </w:r>
          </w:p>
        </w:tc>
      </w:tr>
      <w:tr w:rsidR="00F9630F" w14:paraId="32A85E69" w14:textId="77777777" w:rsidTr="00F9630F">
        <w:tc>
          <w:tcPr>
            <w:tcW w:w="2337" w:type="dxa"/>
          </w:tcPr>
          <w:p w14:paraId="664E642E" w14:textId="77777777" w:rsidR="00F9630F" w:rsidRDefault="00F9630F" w:rsidP="00F9630F">
            <w:pPr>
              <w:autoSpaceDE w:val="0"/>
              <w:autoSpaceDN w:val="0"/>
              <w:adjustRightInd w:val="0"/>
              <w:rPr>
                <w:rFonts w:ascii="Arial-BoldMT" w:hAnsi="Arial-BoldMT" w:cs="Arial-BoldMT"/>
                <w:b/>
                <w:bCs/>
                <w:sz w:val="28"/>
                <w:szCs w:val="28"/>
              </w:rPr>
            </w:pPr>
            <w:r>
              <w:rPr>
                <w:rFonts w:ascii="Arial-BoldMT" w:hAnsi="Arial-BoldMT" w:cs="Arial-BoldMT"/>
                <w:b/>
                <w:bCs/>
                <w:sz w:val="28"/>
                <w:szCs w:val="28"/>
              </w:rPr>
              <w:t>Children of</w:t>
            </w:r>
          </w:p>
          <w:p w14:paraId="686632EB" w14:textId="77777777" w:rsidR="00F9630F" w:rsidRDefault="00F9630F" w:rsidP="00F9630F">
            <w:pPr>
              <w:autoSpaceDE w:val="0"/>
              <w:autoSpaceDN w:val="0"/>
              <w:adjustRightInd w:val="0"/>
              <w:rPr>
                <w:rFonts w:ascii="Arial-BoldMT" w:hAnsi="Arial-BoldMT" w:cs="Arial-BoldMT"/>
                <w:b/>
                <w:bCs/>
                <w:sz w:val="28"/>
                <w:szCs w:val="28"/>
              </w:rPr>
            </w:pPr>
            <w:r>
              <w:rPr>
                <w:rFonts w:ascii="Arial-BoldMT" w:hAnsi="Arial-BoldMT" w:cs="Arial-BoldMT"/>
                <w:b/>
                <w:bCs/>
                <w:sz w:val="28"/>
                <w:szCs w:val="28"/>
              </w:rPr>
              <w:t>citizens</w:t>
            </w:r>
          </w:p>
          <w:p w14:paraId="0F8C9EC3" w14:textId="77777777" w:rsidR="00F9630F" w:rsidRDefault="00F9630F" w:rsidP="00F9630F">
            <w:pPr>
              <w:autoSpaceDE w:val="0"/>
              <w:autoSpaceDN w:val="0"/>
              <w:adjustRightInd w:val="0"/>
              <w:rPr>
                <w:rFonts w:ascii="Arial-ItalicMT" w:hAnsi="Arial-ItalicMT" w:cs="Arial-ItalicMT"/>
                <w:i/>
                <w:iCs/>
                <w:sz w:val="28"/>
                <w:szCs w:val="28"/>
              </w:rPr>
            </w:pPr>
          </w:p>
        </w:tc>
        <w:tc>
          <w:tcPr>
            <w:tcW w:w="2337" w:type="dxa"/>
          </w:tcPr>
          <w:p w14:paraId="20B35DDB" w14:textId="5617369B"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74,750</w:t>
            </w:r>
          </w:p>
        </w:tc>
        <w:tc>
          <w:tcPr>
            <w:tcW w:w="2338" w:type="dxa"/>
          </w:tcPr>
          <w:p w14:paraId="1C246B2F" w14:textId="0F5C26B5"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31%</w:t>
            </w:r>
          </w:p>
        </w:tc>
        <w:tc>
          <w:tcPr>
            <w:tcW w:w="2338" w:type="dxa"/>
          </w:tcPr>
          <w:p w14:paraId="3C30AEA2" w14:textId="38EB93E9" w:rsidR="00F9630F" w:rsidRPr="00712AA3" w:rsidRDefault="00F9630F" w:rsidP="00F9630F">
            <w:pPr>
              <w:autoSpaceDE w:val="0"/>
              <w:autoSpaceDN w:val="0"/>
              <w:adjustRightInd w:val="0"/>
              <w:rPr>
                <w:rFonts w:ascii="Arial-ItalicMT" w:hAnsi="Arial-ItalicMT" w:cs="Arial-ItalicMT"/>
                <w:iCs/>
                <w:sz w:val="28"/>
                <w:szCs w:val="28"/>
              </w:rPr>
            </w:pPr>
            <w:r w:rsidRPr="00712AA3">
              <w:rPr>
                <w:rFonts w:ascii="Arial-ItalicMT" w:hAnsi="Arial-ItalicMT" w:cs="Arial-ItalicMT"/>
                <w:iCs/>
                <w:sz w:val="28"/>
                <w:szCs w:val="28"/>
              </w:rPr>
              <w:t>No</w:t>
            </w:r>
          </w:p>
        </w:tc>
      </w:tr>
      <w:tr w:rsidR="00F9630F" w14:paraId="6379058C" w14:textId="77777777" w:rsidTr="00F9630F">
        <w:tc>
          <w:tcPr>
            <w:tcW w:w="2337" w:type="dxa"/>
          </w:tcPr>
          <w:p w14:paraId="003AA8A8" w14:textId="2778EB2E" w:rsidR="00F9630F" w:rsidRDefault="00F9630F" w:rsidP="00F9630F">
            <w:pPr>
              <w:autoSpaceDE w:val="0"/>
              <w:autoSpaceDN w:val="0"/>
              <w:adjustRightInd w:val="0"/>
              <w:rPr>
                <w:rFonts w:ascii="Arial-ItalicMT" w:hAnsi="Arial-ItalicMT" w:cs="Arial-ItalicMT"/>
                <w:i/>
                <w:iCs/>
                <w:sz w:val="28"/>
                <w:szCs w:val="28"/>
              </w:rPr>
            </w:pPr>
            <w:proofErr w:type="spellStart"/>
            <w:r>
              <w:rPr>
                <w:rFonts w:ascii="Arial-BoldMT" w:hAnsi="Arial-BoldMT" w:cs="Arial-BoldMT"/>
                <w:b/>
                <w:bCs/>
                <w:sz w:val="28"/>
                <w:szCs w:val="28"/>
              </w:rPr>
              <w:t>Metics</w:t>
            </w:r>
            <w:proofErr w:type="spellEnd"/>
            <w:r>
              <w:rPr>
                <w:rFonts w:ascii="Arial-BoldMT" w:hAnsi="Arial-BoldMT" w:cs="Arial-BoldMT"/>
                <w:b/>
                <w:bCs/>
                <w:sz w:val="28"/>
                <w:szCs w:val="28"/>
              </w:rPr>
              <w:t>*</w:t>
            </w:r>
          </w:p>
        </w:tc>
        <w:tc>
          <w:tcPr>
            <w:tcW w:w="2337" w:type="dxa"/>
          </w:tcPr>
          <w:p w14:paraId="6564E595" w14:textId="338FCC6D"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25,775</w:t>
            </w:r>
          </w:p>
        </w:tc>
        <w:tc>
          <w:tcPr>
            <w:tcW w:w="2338" w:type="dxa"/>
          </w:tcPr>
          <w:p w14:paraId="6AC879F1" w14:textId="64C1DBD5"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11%</w:t>
            </w:r>
          </w:p>
        </w:tc>
        <w:tc>
          <w:tcPr>
            <w:tcW w:w="2338" w:type="dxa"/>
          </w:tcPr>
          <w:p w14:paraId="27FB0199" w14:textId="5D7375AE" w:rsidR="00F9630F" w:rsidRPr="00712AA3" w:rsidRDefault="00F9630F" w:rsidP="00F9630F">
            <w:pPr>
              <w:autoSpaceDE w:val="0"/>
              <w:autoSpaceDN w:val="0"/>
              <w:adjustRightInd w:val="0"/>
              <w:rPr>
                <w:rFonts w:ascii="Arial-ItalicMT" w:hAnsi="Arial-ItalicMT" w:cs="Arial-ItalicMT"/>
                <w:iCs/>
                <w:sz w:val="28"/>
                <w:szCs w:val="28"/>
              </w:rPr>
            </w:pPr>
            <w:r w:rsidRPr="00712AA3">
              <w:rPr>
                <w:rFonts w:ascii="Arial-ItalicMT" w:hAnsi="Arial-ItalicMT" w:cs="Arial-ItalicMT"/>
                <w:iCs/>
                <w:sz w:val="28"/>
                <w:szCs w:val="28"/>
              </w:rPr>
              <w:t>No</w:t>
            </w:r>
          </w:p>
        </w:tc>
      </w:tr>
      <w:tr w:rsidR="00F9630F" w14:paraId="14164F8A" w14:textId="77777777" w:rsidTr="00F9630F">
        <w:tc>
          <w:tcPr>
            <w:tcW w:w="2337" w:type="dxa"/>
          </w:tcPr>
          <w:p w14:paraId="34D6CA31" w14:textId="7002C47E" w:rsidR="00F9630F" w:rsidRDefault="00F9630F" w:rsidP="00F9630F">
            <w:pPr>
              <w:autoSpaceDE w:val="0"/>
              <w:autoSpaceDN w:val="0"/>
              <w:adjustRightInd w:val="0"/>
              <w:rPr>
                <w:rFonts w:ascii="Arial-ItalicMT" w:hAnsi="Arial-ItalicMT" w:cs="Arial-ItalicMT"/>
                <w:i/>
                <w:iCs/>
                <w:sz w:val="28"/>
                <w:szCs w:val="28"/>
              </w:rPr>
            </w:pPr>
            <w:r>
              <w:rPr>
                <w:rFonts w:ascii="Arial-BoldMT" w:hAnsi="Arial-BoldMT" w:cs="Arial-BoldMT"/>
                <w:b/>
                <w:bCs/>
                <w:sz w:val="28"/>
                <w:szCs w:val="28"/>
              </w:rPr>
              <w:t>Slaves</w:t>
            </w:r>
          </w:p>
        </w:tc>
        <w:tc>
          <w:tcPr>
            <w:tcW w:w="2337" w:type="dxa"/>
          </w:tcPr>
          <w:p w14:paraId="2F1776B8" w14:textId="2B1CC838"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80,000</w:t>
            </w:r>
          </w:p>
        </w:tc>
        <w:tc>
          <w:tcPr>
            <w:tcW w:w="2338" w:type="dxa"/>
          </w:tcPr>
          <w:p w14:paraId="32323E2C" w14:textId="7A0A541F"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34%</w:t>
            </w:r>
          </w:p>
        </w:tc>
        <w:tc>
          <w:tcPr>
            <w:tcW w:w="2338" w:type="dxa"/>
          </w:tcPr>
          <w:p w14:paraId="4C87E2D8" w14:textId="2B3FCE2B" w:rsidR="00F9630F" w:rsidRPr="00712AA3" w:rsidRDefault="00F9630F" w:rsidP="00F9630F">
            <w:pPr>
              <w:autoSpaceDE w:val="0"/>
              <w:autoSpaceDN w:val="0"/>
              <w:adjustRightInd w:val="0"/>
              <w:rPr>
                <w:rFonts w:ascii="Arial-ItalicMT" w:hAnsi="Arial-ItalicMT" w:cs="Arial-ItalicMT"/>
                <w:iCs/>
                <w:sz w:val="28"/>
                <w:szCs w:val="28"/>
              </w:rPr>
            </w:pPr>
            <w:r w:rsidRPr="00712AA3">
              <w:rPr>
                <w:rFonts w:ascii="Arial-ItalicMT" w:hAnsi="Arial-ItalicMT" w:cs="Arial-ItalicMT"/>
                <w:iCs/>
                <w:sz w:val="28"/>
                <w:szCs w:val="28"/>
              </w:rPr>
              <w:t>No</w:t>
            </w:r>
          </w:p>
        </w:tc>
      </w:tr>
      <w:tr w:rsidR="00F9630F" w14:paraId="6462809A" w14:textId="77777777" w:rsidTr="00DF29E0">
        <w:tc>
          <w:tcPr>
            <w:tcW w:w="4674" w:type="dxa"/>
            <w:gridSpan w:val="2"/>
          </w:tcPr>
          <w:p w14:paraId="1EC25B06" w14:textId="77777777" w:rsidR="00F9630F" w:rsidRDefault="00F9630F" w:rsidP="00F9630F">
            <w:pPr>
              <w:autoSpaceDE w:val="0"/>
              <w:autoSpaceDN w:val="0"/>
              <w:adjustRightInd w:val="0"/>
              <w:rPr>
                <w:rFonts w:ascii="ArialMT" w:hAnsi="ArialMT" w:cs="ArialMT"/>
                <w:sz w:val="28"/>
                <w:szCs w:val="28"/>
              </w:rPr>
            </w:pPr>
          </w:p>
          <w:p w14:paraId="19E331F3" w14:textId="1E3628A7" w:rsidR="00F9630F" w:rsidRDefault="00F9630F" w:rsidP="00F9630F">
            <w:pPr>
              <w:autoSpaceDE w:val="0"/>
              <w:autoSpaceDN w:val="0"/>
              <w:adjustRightInd w:val="0"/>
              <w:rPr>
                <w:rFonts w:ascii="Arial-ItalicMT" w:hAnsi="Arial-ItalicMT" w:cs="Arial-ItalicMT"/>
                <w:i/>
                <w:iCs/>
                <w:sz w:val="28"/>
                <w:szCs w:val="28"/>
              </w:rPr>
            </w:pPr>
            <w:r>
              <w:rPr>
                <w:rFonts w:ascii="ArialMT" w:hAnsi="ArialMT" w:cs="ArialMT"/>
                <w:sz w:val="28"/>
                <w:szCs w:val="28"/>
              </w:rPr>
              <w:t xml:space="preserve">Total Population:   </w:t>
            </w:r>
            <w:r>
              <w:rPr>
                <w:rFonts w:ascii="Arial-BoldMT" w:hAnsi="Arial-BoldMT" w:cs="Arial-BoldMT"/>
                <w:b/>
                <w:bCs/>
                <w:sz w:val="28"/>
                <w:szCs w:val="28"/>
              </w:rPr>
              <w:t>240,325</w:t>
            </w:r>
          </w:p>
        </w:tc>
        <w:tc>
          <w:tcPr>
            <w:tcW w:w="4676" w:type="dxa"/>
            <w:gridSpan w:val="2"/>
          </w:tcPr>
          <w:p w14:paraId="36F5E0C1" w14:textId="77777777" w:rsidR="00F9630F" w:rsidRDefault="00F9630F" w:rsidP="00F9630F">
            <w:pPr>
              <w:autoSpaceDE w:val="0"/>
              <w:autoSpaceDN w:val="0"/>
              <w:adjustRightInd w:val="0"/>
              <w:rPr>
                <w:rFonts w:ascii="ArialMT" w:hAnsi="ArialMT" w:cs="ArialMT"/>
                <w:sz w:val="28"/>
                <w:szCs w:val="28"/>
              </w:rPr>
            </w:pPr>
            <w:r>
              <w:rPr>
                <w:rFonts w:ascii="ArialMT" w:hAnsi="ArialMT" w:cs="ArialMT"/>
                <w:sz w:val="28"/>
                <w:szCs w:val="28"/>
              </w:rPr>
              <w:t>Percentage of Total</w:t>
            </w:r>
          </w:p>
          <w:p w14:paraId="7D227B7C" w14:textId="6350E3E2" w:rsidR="00F9630F" w:rsidRDefault="00F9630F" w:rsidP="00F9630F">
            <w:pPr>
              <w:autoSpaceDE w:val="0"/>
              <w:autoSpaceDN w:val="0"/>
              <w:adjustRightInd w:val="0"/>
              <w:rPr>
                <w:rFonts w:ascii="Arial-BoldMT" w:hAnsi="Arial-BoldMT" w:cs="Arial-BoldMT"/>
                <w:b/>
                <w:bCs/>
                <w:sz w:val="28"/>
                <w:szCs w:val="28"/>
              </w:rPr>
            </w:pPr>
            <w:r>
              <w:rPr>
                <w:rFonts w:ascii="ArialMT" w:hAnsi="ArialMT" w:cs="ArialMT"/>
                <w:sz w:val="28"/>
                <w:szCs w:val="28"/>
              </w:rPr>
              <w:t xml:space="preserve">Population Able to Vote: </w:t>
            </w:r>
            <w:r>
              <w:rPr>
                <w:rFonts w:ascii="Arial-BoldMT" w:hAnsi="Arial-BoldMT" w:cs="Arial-BoldMT"/>
                <w:b/>
                <w:bCs/>
                <w:sz w:val="28"/>
                <w:szCs w:val="28"/>
              </w:rPr>
              <w:t>12%</w:t>
            </w:r>
          </w:p>
          <w:p w14:paraId="65CC298A" w14:textId="77777777" w:rsidR="00F9630F" w:rsidRDefault="00F9630F" w:rsidP="00F9630F">
            <w:pPr>
              <w:autoSpaceDE w:val="0"/>
              <w:autoSpaceDN w:val="0"/>
              <w:adjustRightInd w:val="0"/>
              <w:rPr>
                <w:rFonts w:ascii="Arial-ItalicMT" w:hAnsi="Arial-ItalicMT" w:cs="Arial-ItalicMT"/>
                <w:i/>
                <w:iCs/>
                <w:sz w:val="28"/>
                <w:szCs w:val="28"/>
              </w:rPr>
            </w:pPr>
          </w:p>
        </w:tc>
      </w:tr>
    </w:tbl>
    <w:p w14:paraId="73148E46" w14:textId="77777777" w:rsidR="00F9630F" w:rsidRDefault="00F9630F" w:rsidP="00F9630F">
      <w:pPr>
        <w:autoSpaceDE w:val="0"/>
        <w:autoSpaceDN w:val="0"/>
        <w:adjustRightInd w:val="0"/>
        <w:spacing w:after="0" w:line="240" w:lineRule="auto"/>
        <w:rPr>
          <w:rFonts w:ascii="Arial-ItalicMT" w:hAnsi="Arial-ItalicMT" w:cs="Arial-ItalicMT"/>
          <w:i/>
          <w:iCs/>
          <w:sz w:val="28"/>
          <w:szCs w:val="28"/>
        </w:rPr>
      </w:pPr>
    </w:p>
    <w:p w14:paraId="65E7E59E" w14:textId="77777777" w:rsidR="00F9630F" w:rsidRDefault="00F9630F" w:rsidP="00F9630F">
      <w:pPr>
        <w:autoSpaceDE w:val="0"/>
        <w:autoSpaceDN w:val="0"/>
        <w:adjustRightInd w:val="0"/>
        <w:spacing w:after="0" w:line="240" w:lineRule="auto"/>
        <w:rPr>
          <w:rFonts w:ascii="Arial-ItalicMT" w:hAnsi="Arial-ItalicMT" w:cs="Arial-ItalicMT"/>
          <w:i/>
          <w:iCs/>
          <w:sz w:val="28"/>
          <w:szCs w:val="28"/>
        </w:rPr>
      </w:pPr>
    </w:p>
    <w:p w14:paraId="7A6638F6" w14:textId="77777777" w:rsidR="00F9630F" w:rsidRDefault="00F9630F" w:rsidP="00F9630F">
      <w:pPr>
        <w:autoSpaceDE w:val="0"/>
        <w:autoSpaceDN w:val="0"/>
        <w:adjustRightInd w:val="0"/>
        <w:spacing w:after="0" w:line="240" w:lineRule="auto"/>
        <w:rPr>
          <w:rFonts w:ascii="Arial-ItalicMT" w:hAnsi="Arial-ItalicMT" w:cs="Arial-ItalicMT"/>
          <w:i/>
          <w:iCs/>
          <w:sz w:val="28"/>
          <w:szCs w:val="28"/>
        </w:rPr>
      </w:pPr>
      <w:r>
        <w:rPr>
          <w:rFonts w:ascii="Arial-BoldMT" w:hAnsi="Arial-BoldMT" w:cs="Arial-BoldMT"/>
          <w:b/>
          <w:bCs/>
          <w:sz w:val="28"/>
          <w:szCs w:val="28"/>
        </w:rPr>
        <w:t>*</w:t>
      </w:r>
      <w:proofErr w:type="spellStart"/>
      <w:r>
        <w:rPr>
          <w:rFonts w:ascii="Arial-BoldItalicMT" w:hAnsi="Arial-BoldItalicMT" w:cs="Arial-BoldItalicMT"/>
          <w:b/>
          <w:bCs/>
          <w:i/>
          <w:iCs/>
          <w:sz w:val="28"/>
          <w:szCs w:val="28"/>
        </w:rPr>
        <w:t>Metics</w:t>
      </w:r>
      <w:proofErr w:type="spellEnd"/>
      <w:r>
        <w:rPr>
          <w:rFonts w:ascii="Arial-BoldItalicMT" w:hAnsi="Arial-BoldItalicMT" w:cs="Arial-BoldItalicMT"/>
          <w:b/>
          <w:bCs/>
          <w:i/>
          <w:iCs/>
          <w:sz w:val="28"/>
          <w:szCs w:val="28"/>
        </w:rPr>
        <w:t xml:space="preserve"> </w:t>
      </w:r>
      <w:r>
        <w:rPr>
          <w:rFonts w:ascii="Arial-ItalicMT" w:hAnsi="Arial-ItalicMT" w:cs="Arial-ItalicMT"/>
          <w:i/>
          <w:iCs/>
          <w:sz w:val="28"/>
          <w:szCs w:val="28"/>
        </w:rPr>
        <w:t>were foreigners or Greeks from other city-states that settled in</w:t>
      </w:r>
    </w:p>
    <w:p w14:paraId="39FEB283" w14:textId="6F19EE99" w:rsidR="00F9630F" w:rsidRDefault="00F9630F" w:rsidP="00F9630F">
      <w:pPr>
        <w:autoSpaceDE w:val="0"/>
        <w:autoSpaceDN w:val="0"/>
        <w:adjustRightInd w:val="0"/>
        <w:spacing w:after="0" w:line="240" w:lineRule="auto"/>
        <w:rPr>
          <w:rFonts w:ascii="Arial-ItalicMT" w:hAnsi="Arial-ItalicMT" w:cs="Arial-ItalicMT"/>
          <w:i/>
          <w:iCs/>
          <w:sz w:val="28"/>
          <w:szCs w:val="28"/>
        </w:rPr>
      </w:pPr>
      <w:r>
        <w:rPr>
          <w:rFonts w:ascii="Arial-ItalicMT" w:hAnsi="Arial-ItalicMT" w:cs="Arial-ItalicMT"/>
          <w:i/>
          <w:iCs/>
          <w:sz w:val="28"/>
          <w:szCs w:val="28"/>
        </w:rPr>
        <w:t>Athens, normally for purposes of trade. They became a key part of the city state’s economy, industry, and education system.</w:t>
      </w:r>
    </w:p>
    <w:p w14:paraId="3D07F852" w14:textId="77777777" w:rsidR="00F9630F" w:rsidRDefault="00F9630F" w:rsidP="00F9630F">
      <w:pPr>
        <w:autoSpaceDE w:val="0"/>
        <w:autoSpaceDN w:val="0"/>
        <w:adjustRightInd w:val="0"/>
        <w:spacing w:after="0" w:line="240" w:lineRule="auto"/>
        <w:rPr>
          <w:rFonts w:ascii="Arial-BoldItalicMT" w:hAnsi="Arial-BoldItalicMT" w:cs="Arial-BoldItalicMT"/>
          <w:b/>
          <w:bCs/>
          <w:i/>
          <w:iCs/>
          <w:sz w:val="28"/>
          <w:szCs w:val="28"/>
        </w:rPr>
      </w:pPr>
    </w:p>
    <w:p w14:paraId="79DE5BE9" w14:textId="5FBF5D05" w:rsidR="00F9630F" w:rsidRDefault="00F9630F" w:rsidP="00F9630F">
      <w:pPr>
        <w:autoSpaceDE w:val="0"/>
        <w:autoSpaceDN w:val="0"/>
        <w:adjustRightInd w:val="0"/>
        <w:spacing w:after="0" w:line="240" w:lineRule="auto"/>
        <w:rPr>
          <w:rFonts w:ascii="Arial-ItalicMT" w:hAnsi="Arial-ItalicMT" w:cs="Arial-ItalicMT"/>
          <w:i/>
          <w:iCs/>
          <w:sz w:val="24"/>
          <w:szCs w:val="28"/>
        </w:rPr>
      </w:pPr>
      <w:r w:rsidRPr="00712AA3">
        <w:rPr>
          <w:rFonts w:ascii="Arial-BoldItalicMT" w:hAnsi="Arial-BoldItalicMT" w:cs="Arial-BoldItalicMT"/>
          <w:b/>
          <w:bCs/>
          <w:i/>
          <w:iCs/>
          <w:sz w:val="24"/>
          <w:szCs w:val="28"/>
        </w:rPr>
        <w:t xml:space="preserve">Source: </w:t>
      </w:r>
      <w:r w:rsidRPr="00712AA3">
        <w:rPr>
          <w:rFonts w:ascii="Arial-ItalicMT" w:hAnsi="Arial-ItalicMT" w:cs="Arial-ItalicMT"/>
          <w:iCs/>
          <w:sz w:val="24"/>
          <w:szCs w:val="28"/>
        </w:rPr>
        <w:t>Josiah Ober</w:t>
      </w:r>
      <w:r w:rsidRPr="00712AA3">
        <w:rPr>
          <w:rFonts w:ascii="Arial-ItalicMT" w:hAnsi="Arial-ItalicMT" w:cs="Arial-ItalicMT"/>
          <w:i/>
          <w:iCs/>
          <w:sz w:val="24"/>
          <w:szCs w:val="28"/>
        </w:rPr>
        <w:t xml:space="preserve">, </w:t>
      </w:r>
      <w:r w:rsidRPr="00712AA3">
        <w:rPr>
          <w:rFonts w:ascii="ArialMT" w:hAnsi="ArialMT" w:cs="ArialMT"/>
          <w:i/>
          <w:sz w:val="24"/>
          <w:szCs w:val="28"/>
        </w:rPr>
        <w:t>The Rise and Fall of Classical Greece</w:t>
      </w:r>
      <w:r w:rsidRPr="00712AA3">
        <w:rPr>
          <w:rFonts w:ascii="Arial-ItalicMT" w:hAnsi="Arial-ItalicMT" w:cs="Arial-ItalicMT"/>
          <w:i/>
          <w:iCs/>
          <w:sz w:val="24"/>
          <w:szCs w:val="28"/>
        </w:rPr>
        <w:t xml:space="preserve">, 2016. From Stanford History Education Group, Reading Like a Historian. </w:t>
      </w:r>
    </w:p>
    <w:p w14:paraId="4B606ABF" w14:textId="4CEC0ABC" w:rsidR="00E65E10" w:rsidRDefault="00E65E10" w:rsidP="00F9630F">
      <w:pPr>
        <w:autoSpaceDE w:val="0"/>
        <w:autoSpaceDN w:val="0"/>
        <w:adjustRightInd w:val="0"/>
        <w:spacing w:after="0" w:line="240" w:lineRule="auto"/>
        <w:rPr>
          <w:rFonts w:ascii="Arial-ItalicMT" w:hAnsi="Arial-ItalicMT" w:cs="Arial-ItalicMT"/>
          <w:i/>
          <w:iCs/>
          <w:sz w:val="24"/>
          <w:szCs w:val="28"/>
        </w:rPr>
      </w:pPr>
    </w:p>
    <w:p w14:paraId="1664B6F9" w14:textId="30CC3EC8" w:rsidR="00E65E10" w:rsidRDefault="00E65E10">
      <w:pPr>
        <w:rPr>
          <w:rFonts w:ascii="Arial-ItalicMT" w:hAnsi="Arial-ItalicMT" w:cs="Arial-ItalicMT"/>
          <w:i/>
          <w:iCs/>
          <w:sz w:val="24"/>
          <w:szCs w:val="28"/>
        </w:rPr>
      </w:pPr>
      <w:r>
        <w:rPr>
          <w:rFonts w:ascii="Arial-ItalicMT" w:hAnsi="Arial-ItalicMT" w:cs="Arial-ItalicMT"/>
          <w:i/>
          <w:iCs/>
          <w:sz w:val="24"/>
          <w:szCs w:val="28"/>
        </w:rPr>
        <w:br w:type="page"/>
      </w:r>
    </w:p>
    <w:p w14:paraId="5FB3811F" w14:textId="5F7D477E" w:rsidR="00E65E10" w:rsidRPr="007A50B5" w:rsidRDefault="008D6C15" w:rsidP="007A50B5">
      <w:pPr>
        <w:shd w:val="clear" w:color="auto" w:fill="FFFFFF"/>
        <w:spacing w:before="100" w:beforeAutospacing="1" w:after="100" w:afterAutospacing="1" w:line="312" w:lineRule="atLeast"/>
        <w:jc w:val="center"/>
        <w:rPr>
          <w:rFonts w:ascii="Arial" w:eastAsia="Times New Roman" w:hAnsi="Arial" w:cs="Arial"/>
          <w:b/>
          <w:color w:val="222222"/>
          <w:sz w:val="24"/>
          <w:lang w:eastAsia="en-CA"/>
        </w:rPr>
      </w:pPr>
      <w:r w:rsidRPr="007A50B5">
        <w:rPr>
          <w:rFonts w:ascii="Arial" w:eastAsia="Times New Roman" w:hAnsi="Arial" w:cs="Arial"/>
          <w:b/>
          <w:color w:val="222222"/>
          <w:sz w:val="24"/>
          <w:lang w:eastAsia="en-CA"/>
        </w:rPr>
        <w:lastRenderedPageBreak/>
        <w:t>Canada – Federal Election Voter Turnout</w:t>
      </w:r>
    </w:p>
    <w:p w14:paraId="642C8FC0" w14:textId="3A5CED59" w:rsidR="008966C3" w:rsidRPr="004C04E9" w:rsidRDefault="008966C3" w:rsidP="00E65E10">
      <w:pPr>
        <w:shd w:val="clear" w:color="auto" w:fill="FFFFFF"/>
        <w:spacing w:before="100" w:beforeAutospacing="1" w:after="100" w:afterAutospacing="1" w:line="312" w:lineRule="atLeast"/>
        <w:rPr>
          <w:rFonts w:ascii="Arial" w:eastAsia="Times New Roman" w:hAnsi="Arial" w:cs="Arial"/>
          <w:color w:val="222222"/>
          <w:sz w:val="28"/>
          <w:szCs w:val="28"/>
          <w:lang w:eastAsia="en-CA"/>
        </w:rPr>
      </w:pPr>
      <w:r w:rsidRPr="004C04E9">
        <w:rPr>
          <w:rFonts w:ascii="Arial" w:eastAsia="Times New Roman" w:hAnsi="Arial" w:cs="Arial"/>
          <w:color w:val="222222"/>
          <w:sz w:val="28"/>
          <w:szCs w:val="28"/>
          <w:lang w:eastAsia="en-CA"/>
        </w:rPr>
        <w:t>2011: 58.5% voted*</w:t>
      </w:r>
    </w:p>
    <w:p w14:paraId="4CE867A4" w14:textId="2C789CC0" w:rsidR="008966C3" w:rsidRPr="004C04E9" w:rsidRDefault="008966C3" w:rsidP="00E65E10">
      <w:pPr>
        <w:shd w:val="clear" w:color="auto" w:fill="FFFFFF"/>
        <w:spacing w:before="100" w:beforeAutospacing="1" w:after="100" w:afterAutospacing="1" w:line="312" w:lineRule="atLeast"/>
        <w:rPr>
          <w:rFonts w:ascii="Arial" w:eastAsia="Times New Roman" w:hAnsi="Arial" w:cs="Arial"/>
          <w:color w:val="222222"/>
          <w:sz w:val="28"/>
          <w:szCs w:val="28"/>
          <w:lang w:eastAsia="en-CA"/>
        </w:rPr>
      </w:pPr>
      <w:r w:rsidRPr="004C04E9">
        <w:rPr>
          <w:rFonts w:ascii="Arial" w:eastAsia="Times New Roman" w:hAnsi="Arial" w:cs="Arial"/>
          <w:color w:val="222222"/>
          <w:sz w:val="28"/>
          <w:szCs w:val="28"/>
          <w:lang w:eastAsia="en-CA"/>
        </w:rPr>
        <w:t>2015: 66.1% voted*</w:t>
      </w:r>
    </w:p>
    <w:p w14:paraId="308F618C" w14:textId="092FD8C2" w:rsidR="008966C3" w:rsidRPr="004C04E9" w:rsidRDefault="008966C3" w:rsidP="008966C3">
      <w:pPr>
        <w:shd w:val="clear" w:color="auto" w:fill="FFFFFF"/>
        <w:spacing w:before="100" w:beforeAutospacing="1" w:after="100" w:afterAutospacing="1" w:line="312" w:lineRule="atLeast"/>
        <w:rPr>
          <w:rFonts w:ascii="Arial" w:eastAsia="Times New Roman" w:hAnsi="Arial" w:cs="Arial"/>
          <w:color w:val="222222"/>
          <w:sz w:val="28"/>
          <w:szCs w:val="28"/>
          <w:lang w:eastAsia="en-CA"/>
        </w:rPr>
      </w:pPr>
      <w:r w:rsidRPr="004C04E9">
        <w:rPr>
          <w:sz w:val="28"/>
          <w:szCs w:val="28"/>
        </w:rPr>
        <w:t>*</w:t>
      </w:r>
      <w:r w:rsidRPr="004C04E9">
        <w:rPr>
          <w:rFonts w:ascii="Arial" w:eastAsia="Times New Roman" w:hAnsi="Arial" w:cs="Arial"/>
          <w:color w:val="222222"/>
          <w:sz w:val="28"/>
          <w:szCs w:val="28"/>
          <w:lang w:eastAsia="en-CA"/>
        </w:rPr>
        <w:t>The numbers presented are based on the population of </w:t>
      </w:r>
      <w:r w:rsidRPr="004C04E9">
        <w:rPr>
          <w:rFonts w:ascii="Arial" w:eastAsia="Times New Roman" w:hAnsi="Arial" w:cs="Arial"/>
          <w:b/>
          <w:bCs/>
          <w:color w:val="222222"/>
          <w:sz w:val="28"/>
          <w:szCs w:val="28"/>
          <w:lang w:eastAsia="en-CA"/>
        </w:rPr>
        <w:t xml:space="preserve">eligible </w:t>
      </w:r>
      <w:r w:rsidRPr="004C04E9">
        <w:rPr>
          <w:rFonts w:ascii="Arial" w:eastAsia="Times New Roman" w:hAnsi="Arial" w:cs="Arial"/>
          <w:b/>
          <w:bCs/>
          <w:color w:val="222222"/>
          <w:sz w:val="28"/>
          <w:szCs w:val="28"/>
          <w:lang w:eastAsia="en-CA"/>
        </w:rPr>
        <w:t>voters</w:t>
      </w:r>
      <w:r w:rsidRPr="004C04E9">
        <w:rPr>
          <w:rFonts w:ascii="Arial" w:eastAsia="Times New Roman" w:hAnsi="Arial" w:cs="Arial"/>
          <w:color w:val="222222"/>
          <w:sz w:val="28"/>
          <w:szCs w:val="28"/>
          <w:lang w:eastAsia="en-CA"/>
        </w:rPr>
        <w:t xml:space="preserve">, as opposed to the population of registered </w:t>
      </w:r>
      <w:r w:rsidRPr="004C04E9">
        <w:rPr>
          <w:rFonts w:ascii="Arial" w:eastAsia="Times New Roman" w:hAnsi="Arial" w:cs="Arial"/>
          <w:color w:val="222222"/>
          <w:sz w:val="28"/>
          <w:szCs w:val="28"/>
          <w:lang w:eastAsia="en-CA"/>
        </w:rPr>
        <w:t>voters.</w:t>
      </w:r>
    </w:p>
    <w:p w14:paraId="4B483726" w14:textId="23EC052D" w:rsidR="008966C3" w:rsidRPr="007A50B5" w:rsidRDefault="008966C3" w:rsidP="008966C3">
      <w:pPr>
        <w:shd w:val="clear" w:color="auto" w:fill="FFFFFF"/>
        <w:spacing w:before="100" w:beforeAutospacing="1" w:after="100" w:afterAutospacing="1" w:line="312" w:lineRule="atLeast"/>
        <w:rPr>
          <w:rFonts w:ascii="Arial" w:eastAsia="Times New Roman" w:hAnsi="Arial" w:cs="Arial"/>
          <w:color w:val="222222"/>
          <w:sz w:val="20"/>
          <w:lang w:eastAsia="en-CA"/>
        </w:rPr>
      </w:pPr>
      <w:r w:rsidRPr="007A50B5">
        <w:rPr>
          <w:rFonts w:ascii="Arial" w:eastAsia="Times New Roman" w:hAnsi="Arial" w:cs="Arial"/>
          <w:b/>
          <w:color w:val="222222"/>
          <w:sz w:val="20"/>
          <w:lang w:eastAsia="en-CA"/>
        </w:rPr>
        <w:t>Source</w:t>
      </w:r>
      <w:r w:rsidRPr="007A50B5">
        <w:rPr>
          <w:rFonts w:ascii="Arial" w:eastAsia="Times New Roman" w:hAnsi="Arial" w:cs="Arial"/>
          <w:color w:val="222222"/>
          <w:sz w:val="20"/>
          <w:lang w:eastAsia="en-CA"/>
        </w:rPr>
        <w:t xml:space="preserve">: </w:t>
      </w:r>
      <w:r w:rsidRPr="007A50B5">
        <w:rPr>
          <w:rFonts w:ascii="Arial" w:eastAsia="Times New Roman" w:hAnsi="Arial" w:cs="Arial"/>
          <w:color w:val="222222"/>
          <w:sz w:val="20"/>
          <w:lang w:eastAsia="en-CA"/>
        </w:rPr>
        <w:t xml:space="preserve">Elections Canada. Voter Turnout by Age Group. June 17, 2016. </w:t>
      </w:r>
      <w:hyperlink r:id="rId5" w:history="1">
        <w:r w:rsidRPr="007A50B5">
          <w:rPr>
            <w:rStyle w:val="Hyperlink"/>
            <w:rFonts w:ascii="Arial" w:eastAsia="Times New Roman" w:hAnsi="Arial" w:cs="Arial"/>
            <w:sz w:val="20"/>
            <w:lang w:eastAsia="en-CA"/>
          </w:rPr>
          <w:t>http://www.elections.ca/content.aspx?section=res&amp;dir=rec/eval/pes2015/vtsa&amp;document=table1&amp;lang=e</w:t>
        </w:r>
      </w:hyperlink>
    </w:p>
    <w:p w14:paraId="3E926576" w14:textId="114B26D4" w:rsidR="008D6C15" w:rsidRDefault="008D6C15" w:rsidP="00F9630F">
      <w:pPr>
        <w:autoSpaceDE w:val="0"/>
        <w:autoSpaceDN w:val="0"/>
        <w:adjustRightInd w:val="0"/>
        <w:spacing w:after="0" w:line="240" w:lineRule="auto"/>
        <w:rPr>
          <w:rFonts w:ascii="Arial-ItalicMT" w:hAnsi="Arial-ItalicMT" w:cs="Arial-ItalicMT"/>
          <w:i/>
          <w:iCs/>
          <w:sz w:val="24"/>
          <w:szCs w:val="28"/>
        </w:rPr>
      </w:pPr>
    </w:p>
    <w:p w14:paraId="09AA9400" w14:textId="2C6083FE" w:rsidR="008D6C15" w:rsidRPr="007A50B5" w:rsidRDefault="007A50B5" w:rsidP="007A50B5">
      <w:pPr>
        <w:autoSpaceDE w:val="0"/>
        <w:autoSpaceDN w:val="0"/>
        <w:adjustRightInd w:val="0"/>
        <w:spacing w:after="0" w:line="240" w:lineRule="auto"/>
        <w:jc w:val="center"/>
        <w:rPr>
          <w:rFonts w:ascii="Arial-ItalicMT" w:hAnsi="Arial-ItalicMT" w:cs="Arial-ItalicMT"/>
          <w:b/>
          <w:iCs/>
          <w:sz w:val="24"/>
          <w:szCs w:val="28"/>
        </w:rPr>
      </w:pPr>
      <w:r w:rsidRPr="007A50B5">
        <w:rPr>
          <w:rFonts w:ascii="Arial-ItalicMT" w:hAnsi="Arial-ItalicMT" w:cs="Arial-ItalicMT"/>
          <w:b/>
          <w:iCs/>
          <w:sz w:val="24"/>
          <w:szCs w:val="28"/>
        </w:rPr>
        <w:t>Canada: Voter Turnout and Age</w:t>
      </w:r>
    </w:p>
    <w:p w14:paraId="40AC6A68" w14:textId="317AE2C9" w:rsidR="008D6C15" w:rsidRDefault="008D6C15" w:rsidP="00F9630F">
      <w:pPr>
        <w:autoSpaceDE w:val="0"/>
        <w:autoSpaceDN w:val="0"/>
        <w:adjustRightInd w:val="0"/>
        <w:spacing w:after="0" w:line="240" w:lineRule="auto"/>
        <w:rPr>
          <w:rFonts w:ascii="Arial-ItalicMT" w:hAnsi="Arial-ItalicMT" w:cs="Arial-ItalicMT"/>
          <w:i/>
          <w:iCs/>
          <w:sz w:val="24"/>
          <w:szCs w:val="28"/>
        </w:rPr>
      </w:pPr>
    </w:p>
    <w:p w14:paraId="525B0C0A" w14:textId="52B5A6A9" w:rsidR="008D6C15" w:rsidRDefault="008D6C15" w:rsidP="00F9630F">
      <w:pPr>
        <w:autoSpaceDE w:val="0"/>
        <w:autoSpaceDN w:val="0"/>
        <w:adjustRightInd w:val="0"/>
        <w:spacing w:after="0" w:line="240" w:lineRule="auto"/>
        <w:rPr>
          <w:rFonts w:ascii="Arial" w:hAnsi="Arial" w:cs="Arial"/>
          <w:color w:val="333333"/>
          <w:shd w:val="clear" w:color="auto" w:fill="F9F9F9"/>
        </w:rPr>
      </w:pPr>
      <w:r>
        <w:rPr>
          <w:rFonts w:ascii="Arial" w:hAnsi="Arial" w:cs="Arial"/>
          <w:color w:val="333333"/>
          <w:shd w:val="clear" w:color="auto" w:fill="F9F9F9"/>
        </w:rPr>
        <w:t>In May 2011, approximately 14.8 million of the 24.3 million citizens on the electoral</w:t>
      </w:r>
      <w:r w:rsidR="008966C3">
        <w:rPr>
          <w:rFonts w:ascii="Arial" w:hAnsi="Arial" w:cs="Arial"/>
          <w:color w:val="333333"/>
          <w:shd w:val="clear" w:color="auto" w:fill="F9F9F9"/>
        </w:rPr>
        <w:t xml:space="preserve"> (voter)</w:t>
      </w:r>
      <w:r>
        <w:rPr>
          <w:rFonts w:ascii="Arial" w:hAnsi="Arial" w:cs="Arial"/>
          <w:color w:val="333333"/>
          <w:shd w:val="clear" w:color="auto" w:fill="F9F9F9"/>
        </w:rPr>
        <w:t xml:space="preserve"> list cast a ballot, for a turnout rate of 61%. Provinces with higher-than-average voting rates included Prince Edward Island (73%), New Brunswick (66%), Saskatchewan (63%) and Quebec (63%). Those with lower rates included Newfoundland and Labrador (53%), Alberta (56%) and Manitoba (59%). Ontario, British Columbia and Nova Scotia had turnout rates close to the national average.</w:t>
      </w:r>
    </w:p>
    <w:p w14:paraId="24DCD7EB" w14:textId="4C0B6AD0" w:rsidR="008D6C15" w:rsidRDefault="008D6C15" w:rsidP="00F9630F">
      <w:pPr>
        <w:autoSpaceDE w:val="0"/>
        <w:autoSpaceDN w:val="0"/>
        <w:adjustRightInd w:val="0"/>
        <w:spacing w:after="0" w:line="240" w:lineRule="auto"/>
        <w:rPr>
          <w:rFonts w:ascii="Arial-ItalicMT" w:hAnsi="Arial-ItalicMT" w:cs="Arial-ItalicMT"/>
          <w:i/>
          <w:iCs/>
          <w:sz w:val="24"/>
          <w:szCs w:val="28"/>
        </w:rPr>
      </w:pPr>
    </w:p>
    <w:p w14:paraId="6D0D939D" w14:textId="406ED9AE" w:rsidR="008D6C15" w:rsidRDefault="008D6C15" w:rsidP="00F9630F">
      <w:pPr>
        <w:autoSpaceDE w:val="0"/>
        <w:autoSpaceDN w:val="0"/>
        <w:adjustRightInd w:val="0"/>
        <w:spacing w:after="0" w:line="240" w:lineRule="auto"/>
        <w:rPr>
          <w:rFonts w:ascii="Arial" w:hAnsi="Arial" w:cs="Arial"/>
          <w:color w:val="333333"/>
          <w:shd w:val="clear" w:color="auto" w:fill="F9F9F9"/>
        </w:rPr>
      </w:pPr>
      <w:r>
        <w:rPr>
          <w:rFonts w:ascii="Arial" w:hAnsi="Arial" w:cs="Arial"/>
          <w:color w:val="333333"/>
          <w:shd w:val="clear" w:color="auto" w:fill="F9F9F9"/>
        </w:rPr>
        <w:t xml:space="preserve">Age has been found to matter a great deal when it comes to voting participation. In 2011, the turnout rate was about 50% among people age 18 to </w:t>
      </w:r>
      <w:proofErr w:type="gramStart"/>
      <w:r>
        <w:rPr>
          <w:rFonts w:ascii="Arial" w:hAnsi="Arial" w:cs="Arial"/>
          <w:color w:val="333333"/>
          <w:shd w:val="clear" w:color="auto" w:fill="F9F9F9"/>
        </w:rPr>
        <w:t>24, and</w:t>
      </w:r>
      <w:proofErr w:type="gramEnd"/>
      <w:r>
        <w:rPr>
          <w:rFonts w:ascii="Arial" w:hAnsi="Arial" w:cs="Arial"/>
          <w:color w:val="333333"/>
          <w:shd w:val="clear" w:color="auto" w:fill="F9F9F9"/>
        </w:rPr>
        <w:t xml:space="preserve"> was only a few percentage points higher among 25- to 34-year-olds. People age 35 to 44 had participation rates just below the national average. In contrast, older people were more likely to vote, with turnout rates increasing from 70% among 45- to 54-year-olds to a peak of 82% among those age 65 to 74. </w:t>
      </w:r>
    </w:p>
    <w:p w14:paraId="02ED2B09" w14:textId="5F98AD2B" w:rsidR="008D6C15" w:rsidRDefault="008D6C15" w:rsidP="00F9630F">
      <w:pPr>
        <w:autoSpaceDE w:val="0"/>
        <w:autoSpaceDN w:val="0"/>
        <w:adjustRightInd w:val="0"/>
        <w:spacing w:after="0" w:line="240" w:lineRule="auto"/>
        <w:rPr>
          <w:rFonts w:ascii="Arial-ItalicMT" w:hAnsi="Arial-ItalicMT" w:cs="Arial-ItalicMT"/>
          <w:i/>
          <w:iCs/>
          <w:sz w:val="24"/>
          <w:szCs w:val="28"/>
        </w:rPr>
      </w:pPr>
    </w:p>
    <w:p w14:paraId="7F382D9A" w14:textId="542C42D2" w:rsidR="008D6C15" w:rsidRDefault="008D6C15" w:rsidP="00F9630F">
      <w:pPr>
        <w:autoSpaceDE w:val="0"/>
        <w:autoSpaceDN w:val="0"/>
        <w:adjustRightInd w:val="0"/>
        <w:spacing w:after="0" w:line="240" w:lineRule="auto"/>
        <w:rPr>
          <w:rFonts w:ascii="Arial" w:hAnsi="Arial" w:cs="Arial"/>
          <w:color w:val="333333"/>
          <w:shd w:val="clear" w:color="auto" w:fill="F9F9F9"/>
        </w:rPr>
      </w:pPr>
      <w:r>
        <w:rPr>
          <w:rFonts w:ascii="Arial" w:hAnsi="Arial" w:cs="Arial"/>
          <w:color w:val="333333"/>
          <w:shd w:val="clear" w:color="auto" w:fill="F9F9F9"/>
        </w:rPr>
        <w:t>The voting rates were 51% for recent immigrants, 66% for more established immigrants and 67% for the Canadian-born.</w:t>
      </w:r>
    </w:p>
    <w:p w14:paraId="410C527F" w14:textId="10C5B4AC" w:rsidR="008D6C15" w:rsidRDefault="008D6C15" w:rsidP="00F9630F">
      <w:pPr>
        <w:autoSpaceDE w:val="0"/>
        <w:autoSpaceDN w:val="0"/>
        <w:adjustRightInd w:val="0"/>
        <w:spacing w:after="0" w:line="240" w:lineRule="auto"/>
        <w:rPr>
          <w:rFonts w:ascii="Arial-ItalicMT" w:hAnsi="Arial-ItalicMT" w:cs="Arial-ItalicMT"/>
          <w:i/>
          <w:iCs/>
          <w:sz w:val="24"/>
          <w:szCs w:val="28"/>
        </w:rPr>
      </w:pPr>
    </w:p>
    <w:p w14:paraId="059664E6" w14:textId="77777777" w:rsidR="008D6C15" w:rsidRPr="008966C3" w:rsidRDefault="008D6C15" w:rsidP="008D6C15">
      <w:pPr>
        <w:pStyle w:val="NormalWeb"/>
        <w:shd w:val="clear" w:color="auto" w:fill="F9F9F9"/>
        <w:spacing w:before="0" w:beforeAutospacing="0" w:after="173" w:afterAutospacing="0"/>
        <w:rPr>
          <w:rFonts w:ascii="Arial" w:hAnsi="Arial" w:cs="Arial"/>
          <w:color w:val="333333"/>
          <w:sz w:val="22"/>
        </w:rPr>
      </w:pPr>
      <w:r w:rsidRPr="008966C3">
        <w:rPr>
          <w:rFonts w:ascii="Arial" w:hAnsi="Arial" w:cs="Arial"/>
          <w:color w:val="333333"/>
          <w:sz w:val="22"/>
        </w:rPr>
        <w:t xml:space="preserve">Employed individuals were significantly more likely to vote than the unemployed (66% versus 57%) but differed little from those not in the labour force (69%). However, the </w:t>
      </w:r>
      <w:proofErr w:type="gramStart"/>
      <w:r w:rsidRPr="008966C3">
        <w:rPr>
          <w:rFonts w:ascii="Arial" w:hAnsi="Arial" w:cs="Arial"/>
          <w:color w:val="333333"/>
          <w:sz w:val="22"/>
        </w:rPr>
        <w:t>vast majority</w:t>
      </w:r>
      <w:proofErr w:type="gramEnd"/>
      <w:r w:rsidRPr="008966C3">
        <w:rPr>
          <w:rFonts w:ascii="Arial" w:hAnsi="Arial" w:cs="Arial"/>
          <w:color w:val="333333"/>
          <w:sz w:val="22"/>
        </w:rPr>
        <w:t xml:space="preserve"> of the inactive population is made up of retirees, who are more likely to vote. Among the employed, those working less than 40 hours per week were more likely to vote (69%) compared with those putting in 40 hours of work or more (63%).</w:t>
      </w:r>
    </w:p>
    <w:p w14:paraId="7E257641" w14:textId="76F6C7AE" w:rsidR="008966C3" w:rsidRPr="007A50B5" w:rsidRDefault="008966C3" w:rsidP="008966C3">
      <w:pPr>
        <w:autoSpaceDE w:val="0"/>
        <w:autoSpaceDN w:val="0"/>
        <w:adjustRightInd w:val="0"/>
        <w:spacing w:after="0" w:line="240" w:lineRule="auto"/>
        <w:rPr>
          <w:rFonts w:ascii="Arial" w:hAnsi="Arial" w:cs="Arial"/>
          <w:color w:val="333333"/>
          <w:sz w:val="20"/>
          <w:szCs w:val="20"/>
          <w:shd w:val="clear" w:color="auto" w:fill="F9F9F9"/>
        </w:rPr>
      </w:pPr>
      <w:r w:rsidRPr="007A50B5">
        <w:rPr>
          <w:rFonts w:ascii="Arial-ItalicMT" w:hAnsi="Arial-ItalicMT" w:cs="Arial-ItalicMT"/>
          <w:b/>
          <w:iCs/>
          <w:sz w:val="20"/>
          <w:szCs w:val="20"/>
        </w:rPr>
        <w:t>Source</w:t>
      </w:r>
      <w:r w:rsidRPr="007A50B5">
        <w:rPr>
          <w:rFonts w:ascii="Arial-ItalicMT" w:hAnsi="Arial-ItalicMT" w:cs="Arial-ItalicMT"/>
          <w:i/>
          <w:iCs/>
          <w:sz w:val="20"/>
          <w:szCs w:val="20"/>
        </w:rPr>
        <w:t xml:space="preserve">: </w:t>
      </w:r>
      <w:r w:rsidRPr="007A50B5">
        <w:rPr>
          <w:rFonts w:ascii="Arial-ItalicMT" w:hAnsi="Arial-ItalicMT" w:cs="Arial-ItalicMT"/>
          <w:iCs/>
          <w:sz w:val="20"/>
          <w:szCs w:val="20"/>
        </w:rPr>
        <w:t>Statistics Canada. Perspectives on Labour and Income: Factors Associated with Voting. Nov. 27, 2015.</w:t>
      </w:r>
      <w:r w:rsidRPr="007A50B5">
        <w:rPr>
          <w:rFonts w:ascii="Arial-ItalicMT" w:hAnsi="Arial-ItalicMT" w:cs="Arial-ItalicMT"/>
          <w:i/>
          <w:iCs/>
          <w:sz w:val="20"/>
          <w:szCs w:val="20"/>
        </w:rPr>
        <w:t xml:space="preserve">  </w:t>
      </w:r>
      <w:hyperlink r:id="rId6" w:history="1">
        <w:r w:rsidRPr="007A50B5">
          <w:rPr>
            <w:rStyle w:val="Hyperlink"/>
            <w:rFonts w:ascii="Arial" w:hAnsi="Arial" w:cs="Arial"/>
            <w:sz w:val="20"/>
            <w:szCs w:val="20"/>
            <w:shd w:val="clear" w:color="auto" w:fill="F9F9F9"/>
          </w:rPr>
          <w:t>https://www.stat</w:t>
        </w:r>
        <w:r w:rsidRPr="007A50B5">
          <w:rPr>
            <w:rStyle w:val="Hyperlink"/>
            <w:rFonts w:ascii="Arial" w:hAnsi="Arial" w:cs="Arial"/>
            <w:sz w:val="20"/>
            <w:szCs w:val="20"/>
            <w:shd w:val="clear" w:color="auto" w:fill="F9F9F9"/>
          </w:rPr>
          <w:t>c</w:t>
        </w:r>
        <w:r w:rsidRPr="007A50B5">
          <w:rPr>
            <w:rStyle w:val="Hyperlink"/>
            <w:rFonts w:ascii="Arial" w:hAnsi="Arial" w:cs="Arial"/>
            <w:sz w:val="20"/>
            <w:szCs w:val="20"/>
            <w:shd w:val="clear" w:color="auto" w:fill="F9F9F9"/>
          </w:rPr>
          <w:t>an.gc.ca/pub/75-001-x/2012001/article/11629-eng.htm</w:t>
        </w:r>
      </w:hyperlink>
    </w:p>
    <w:p w14:paraId="0BB0D87E" w14:textId="46246AE4" w:rsidR="008D6C15" w:rsidRDefault="008D6C15" w:rsidP="00F9630F">
      <w:pPr>
        <w:autoSpaceDE w:val="0"/>
        <w:autoSpaceDN w:val="0"/>
        <w:adjustRightInd w:val="0"/>
        <w:spacing w:after="0" w:line="240" w:lineRule="auto"/>
        <w:rPr>
          <w:rFonts w:ascii="Arial-ItalicMT" w:hAnsi="Arial-ItalicMT" w:cs="Arial-ItalicMT"/>
          <w:i/>
          <w:iCs/>
          <w:sz w:val="24"/>
          <w:szCs w:val="28"/>
        </w:rPr>
      </w:pPr>
    </w:p>
    <w:p w14:paraId="41275406" w14:textId="0DB4708F" w:rsidR="008966C3" w:rsidRDefault="008966C3" w:rsidP="008966C3">
      <w:pPr>
        <w:autoSpaceDE w:val="0"/>
        <w:autoSpaceDN w:val="0"/>
        <w:adjustRightInd w:val="0"/>
        <w:spacing w:after="0"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In the 2015 federal election, the overall voter turnout rate for the 18–24 age group increased to 57.1%, a rise of 18 percentage points from 2011 (see Figure 2).</w:t>
      </w:r>
      <w:bookmarkStart w:id="0" w:name="txt9"/>
      <w:bookmarkEnd w:id="0"/>
      <w:r>
        <w:rPr>
          <w:rFonts w:ascii="Arial" w:hAnsi="Arial" w:cs="Arial"/>
          <w:color w:val="000000"/>
          <w:sz w:val="18"/>
          <w:szCs w:val="18"/>
          <w:shd w:val="clear" w:color="auto" w:fill="FFFFFF"/>
        </w:rPr>
        <w:t> Turnout also went up among those aged 25–34, increasing from 45.1% in 2011 to 57.4% in 2015.</w:t>
      </w:r>
      <w:bookmarkStart w:id="1" w:name="txt10"/>
      <w:bookmarkEnd w:id="1"/>
      <w:r>
        <w:rPr>
          <w:rFonts w:ascii="Arial" w:hAnsi="Arial" w:cs="Arial"/>
          <w:color w:val="000000"/>
          <w:sz w:val="18"/>
          <w:szCs w:val="18"/>
          <w:shd w:val="clear" w:color="auto" w:fill="FFFFFF"/>
        </w:rPr>
        <w:t> While turnout rates increased for all age groups in 2015, the largest upswings were recorded by the 18–24 and 25–34 age groups. However, despite this surge in turnout in 2015, youth voter participation remained below the national average of 66.1% for this election.</w:t>
      </w:r>
    </w:p>
    <w:p w14:paraId="2B6F7AF2" w14:textId="6ECC5932" w:rsidR="008966C3" w:rsidRDefault="008966C3" w:rsidP="00F9630F">
      <w:pPr>
        <w:autoSpaceDE w:val="0"/>
        <w:autoSpaceDN w:val="0"/>
        <w:adjustRightInd w:val="0"/>
        <w:spacing w:after="0" w:line="240" w:lineRule="auto"/>
        <w:rPr>
          <w:rFonts w:ascii="Arial-ItalicMT" w:hAnsi="Arial-ItalicMT" w:cs="Arial-ItalicMT"/>
          <w:i/>
          <w:iCs/>
          <w:sz w:val="24"/>
          <w:szCs w:val="28"/>
        </w:rPr>
      </w:pPr>
    </w:p>
    <w:p w14:paraId="208259BF" w14:textId="48435D85" w:rsidR="008D6C15" w:rsidRPr="007A50B5" w:rsidRDefault="008966C3" w:rsidP="00F9630F">
      <w:pPr>
        <w:autoSpaceDE w:val="0"/>
        <w:autoSpaceDN w:val="0"/>
        <w:adjustRightInd w:val="0"/>
        <w:spacing w:after="0" w:line="240" w:lineRule="auto"/>
        <w:rPr>
          <w:rFonts w:ascii="Arial-ItalicMT" w:hAnsi="Arial-ItalicMT" w:cs="Arial-ItalicMT"/>
          <w:i/>
          <w:iCs/>
          <w:sz w:val="20"/>
          <w:szCs w:val="20"/>
        </w:rPr>
      </w:pPr>
      <w:r w:rsidRPr="007A50B5">
        <w:rPr>
          <w:rFonts w:ascii="Arial-ItalicMT" w:hAnsi="Arial-ItalicMT" w:cs="Arial-ItalicMT"/>
          <w:b/>
          <w:iCs/>
          <w:sz w:val="20"/>
          <w:szCs w:val="20"/>
        </w:rPr>
        <w:t>Source</w:t>
      </w:r>
      <w:r w:rsidRPr="007A50B5">
        <w:rPr>
          <w:rFonts w:ascii="Arial-ItalicMT" w:hAnsi="Arial-ItalicMT" w:cs="Arial-ItalicMT"/>
          <w:i/>
          <w:iCs/>
          <w:sz w:val="20"/>
          <w:szCs w:val="20"/>
        </w:rPr>
        <w:t xml:space="preserve">: </w:t>
      </w:r>
      <w:r w:rsidRPr="007A50B5">
        <w:rPr>
          <w:rFonts w:ascii="Arial-ItalicMT" w:hAnsi="Arial-ItalicMT" w:cs="Arial-ItalicMT"/>
          <w:iCs/>
          <w:sz w:val="20"/>
          <w:szCs w:val="20"/>
        </w:rPr>
        <w:t>Library of Parliament Research Publications. Youth Voter Turnout in Canada. October 13, 2016.</w:t>
      </w:r>
      <w:r w:rsidRPr="007A50B5">
        <w:rPr>
          <w:rFonts w:ascii="Arial-ItalicMT" w:hAnsi="Arial-ItalicMT" w:cs="Arial-ItalicMT"/>
          <w:i/>
          <w:iCs/>
          <w:sz w:val="20"/>
          <w:szCs w:val="20"/>
        </w:rPr>
        <w:t xml:space="preserve"> </w:t>
      </w:r>
      <w:hyperlink r:id="rId7" w:history="1">
        <w:r w:rsidR="008D6C15" w:rsidRPr="007A50B5">
          <w:rPr>
            <w:rStyle w:val="Hyperlink"/>
            <w:rFonts w:ascii="Arial-ItalicMT" w:hAnsi="Arial-ItalicMT" w:cs="Arial-ItalicMT"/>
            <w:i/>
            <w:iCs/>
            <w:sz w:val="20"/>
            <w:szCs w:val="20"/>
          </w:rPr>
          <w:t>https://lop.parl.ca/Content/LOP/ResearchP</w:t>
        </w:r>
        <w:r w:rsidR="008D6C15" w:rsidRPr="007A50B5">
          <w:rPr>
            <w:rStyle w:val="Hyperlink"/>
            <w:rFonts w:ascii="Arial-ItalicMT" w:hAnsi="Arial-ItalicMT" w:cs="Arial-ItalicMT"/>
            <w:i/>
            <w:iCs/>
            <w:sz w:val="20"/>
            <w:szCs w:val="20"/>
          </w:rPr>
          <w:t>u</w:t>
        </w:r>
        <w:r w:rsidR="008D6C15" w:rsidRPr="007A50B5">
          <w:rPr>
            <w:rStyle w:val="Hyperlink"/>
            <w:rFonts w:ascii="Arial-ItalicMT" w:hAnsi="Arial-ItalicMT" w:cs="Arial-ItalicMT"/>
            <w:i/>
            <w:iCs/>
            <w:sz w:val="20"/>
            <w:szCs w:val="20"/>
          </w:rPr>
          <w:t>blications/2016-104-e.html?cat=government</w:t>
        </w:r>
      </w:hyperlink>
    </w:p>
    <w:p w14:paraId="0C3F6C06" w14:textId="77777777" w:rsidR="004C04E9" w:rsidRDefault="004C04E9">
      <w:pPr>
        <w:rPr>
          <w:rFonts w:ascii="Arial-ItalicMT" w:hAnsi="Arial-ItalicMT" w:cs="Arial-ItalicMT"/>
          <w:b/>
          <w:iCs/>
          <w:sz w:val="24"/>
          <w:szCs w:val="28"/>
        </w:rPr>
      </w:pPr>
      <w:r>
        <w:rPr>
          <w:rFonts w:ascii="Arial-ItalicMT" w:hAnsi="Arial-ItalicMT" w:cs="Arial-ItalicMT"/>
          <w:b/>
          <w:iCs/>
          <w:sz w:val="24"/>
          <w:szCs w:val="28"/>
        </w:rPr>
        <w:br w:type="page"/>
      </w:r>
    </w:p>
    <w:p w14:paraId="769E0B19" w14:textId="79CB6DC7" w:rsidR="009474AF" w:rsidRPr="007A50B5" w:rsidRDefault="007A50B5" w:rsidP="007A50B5">
      <w:pPr>
        <w:autoSpaceDE w:val="0"/>
        <w:autoSpaceDN w:val="0"/>
        <w:adjustRightInd w:val="0"/>
        <w:spacing w:after="0" w:line="240" w:lineRule="auto"/>
        <w:jc w:val="center"/>
        <w:rPr>
          <w:rFonts w:ascii="Arial-ItalicMT" w:hAnsi="Arial-ItalicMT" w:cs="Arial-ItalicMT"/>
          <w:b/>
          <w:iCs/>
          <w:sz w:val="24"/>
          <w:szCs w:val="28"/>
        </w:rPr>
      </w:pPr>
      <w:r>
        <w:rPr>
          <w:rFonts w:ascii="Arial-ItalicMT" w:hAnsi="Arial-ItalicMT" w:cs="Arial-ItalicMT"/>
          <w:b/>
          <w:iCs/>
          <w:sz w:val="24"/>
          <w:szCs w:val="28"/>
        </w:rPr>
        <w:lastRenderedPageBreak/>
        <w:t xml:space="preserve">Canada </w:t>
      </w:r>
      <w:r w:rsidRPr="007A50B5">
        <w:rPr>
          <w:rFonts w:ascii="Arial-ItalicMT" w:hAnsi="Arial-ItalicMT" w:cs="Arial-ItalicMT"/>
          <w:b/>
          <w:iCs/>
          <w:sz w:val="24"/>
          <w:szCs w:val="28"/>
        </w:rPr>
        <w:t xml:space="preserve">Voter Turnout </w:t>
      </w:r>
      <w:proofErr w:type="gramStart"/>
      <w:r w:rsidRPr="007A50B5">
        <w:rPr>
          <w:rFonts w:ascii="Arial-ItalicMT" w:hAnsi="Arial-ItalicMT" w:cs="Arial-ItalicMT"/>
          <w:b/>
          <w:iCs/>
          <w:sz w:val="24"/>
          <w:szCs w:val="28"/>
        </w:rPr>
        <w:t>By</w:t>
      </w:r>
      <w:proofErr w:type="gramEnd"/>
      <w:r w:rsidRPr="007A50B5">
        <w:rPr>
          <w:rFonts w:ascii="Arial-ItalicMT" w:hAnsi="Arial-ItalicMT" w:cs="Arial-ItalicMT"/>
          <w:b/>
          <w:iCs/>
          <w:sz w:val="24"/>
          <w:szCs w:val="28"/>
        </w:rPr>
        <w:t xml:space="preserve"> </w:t>
      </w:r>
      <w:r>
        <w:rPr>
          <w:rFonts w:ascii="Arial-ItalicMT" w:hAnsi="Arial-ItalicMT" w:cs="Arial-ItalicMT"/>
          <w:b/>
          <w:iCs/>
          <w:sz w:val="24"/>
          <w:szCs w:val="28"/>
        </w:rPr>
        <w:t xml:space="preserve">Age and </w:t>
      </w:r>
      <w:r w:rsidRPr="007A50B5">
        <w:rPr>
          <w:rFonts w:ascii="Arial-ItalicMT" w:hAnsi="Arial-ItalicMT" w:cs="Arial-ItalicMT"/>
          <w:b/>
          <w:iCs/>
          <w:sz w:val="24"/>
          <w:szCs w:val="28"/>
        </w:rPr>
        <w:t>Gender, 2015 General Election</w:t>
      </w:r>
    </w:p>
    <w:p w14:paraId="35CDB7B2" w14:textId="77777777" w:rsidR="009474AF" w:rsidRPr="009474AF" w:rsidRDefault="009474AF" w:rsidP="009474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1st time</w:t>
      </w:r>
    </w:p>
    <w:p w14:paraId="300CF24B"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Males, 54.9 percent</w:t>
      </w:r>
    </w:p>
    <w:p w14:paraId="7BB7FDC9"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Females 61.9 percent</w:t>
      </w:r>
    </w:p>
    <w:p w14:paraId="5C90005A" w14:textId="77777777" w:rsidR="009474AF" w:rsidRPr="009474AF" w:rsidRDefault="009474AF" w:rsidP="009474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Not 1st time</w:t>
      </w:r>
    </w:p>
    <w:p w14:paraId="1B6A721C"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Males, 52.0 percent</w:t>
      </w:r>
    </w:p>
    <w:p w14:paraId="5DA867D9"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Females 58.3 percent</w:t>
      </w:r>
    </w:p>
    <w:p w14:paraId="20A4DB35" w14:textId="77777777" w:rsidR="009474AF" w:rsidRPr="009474AF" w:rsidRDefault="009474AF" w:rsidP="009474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25–34</w:t>
      </w:r>
    </w:p>
    <w:p w14:paraId="6F7A3EE4"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Males, 54.3 percent</w:t>
      </w:r>
    </w:p>
    <w:p w14:paraId="3FCBAB56"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Females, 60.6 percent</w:t>
      </w:r>
    </w:p>
    <w:p w14:paraId="0378DB7C" w14:textId="77777777" w:rsidR="009474AF" w:rsidRPr="009474AF" w:rsidRDefault="009474AF" w:rsidP="009474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35–44</w:t>
      </w:r>
    </w:p>
    <w:p w14:paraId="4E88E456"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Males, 58.7 percent</w:t>
      </w:r>
    </w:p>
    <w:p w14:paraId="74AC8B3C"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Females, 65.1 percent</w:t>
      </w:r>
    </w:p>
    <w:p w14:paraId="1A666E64" w14:textId="77777777" w:rsidR="009474AF" w:rsidRPr="009474AF" w:rsidRDefault="009474AF" w:rsidP="009474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45–54</w:t>
      </w:r>
    </w:p>
    <w:p w14:paraId="66A5B3E3"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Males, 63.6 percent</w:t>
      </w:r>
    </w:p>
    <w:p w14:paraId="7DF30931"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Females, 69.6 percent</w:t>
      </w:r>
    </w:p>
    <w:p w14:paraId="6FB4950F" w14:textId="77777777" w:rsidR="009474AF" w:rsidRPr="009474AF" w:rsidRDefault="009474AF" w:rsidP="009474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55–64</w:t>
      </w:r>
    </w:p>
    <w:p w14:paraId="7DC74ED1"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Males, 71.4 percent</w:t>
      </w:r>
    </w:p>
    <w:p w14:paraId="62279731"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Females, 76.0 percent</w:t>
      </w:r>
    </w:p>
    <w:p w14:paraId="23E028F7" w14:textId="77777777" w:rsidR="009474AF" w:rsidRPr="009474AF" w:rsidRDefault="009474AF" w:rsidP="009474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65–74</w:t>
      </w:r>
    </w:p>
    <w:p w14:paraId="6990505D"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Males, 79.0 percent</w:t>
      </w:r>
    </w:p>
    <w:p w14:paraId="6067E84F"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Females, 78.6 percent</w:t>
      </w:r>
    </w:p>
    <w:p w14:paraId="0D480774" w14:textId="77777777" w:rsidR="009474AF" w:rsidRPr="009474AF" w:rsidRDefault="009474AF" w:rsidP="009474AF">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75+</w:t>
      </w:r>
    </w:p>
    <w:p w14:paraId="1F529E12" w14:textId="77777777" w:rsidR="009474AF" w:rsidRP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Males, 74.1 percent</w:t>
      </w:r>
    </w:p>
    <w:p w14:paraId="3F86E378" w14:textId="5B4FFBED" w:rsidR="009474AF" w:rsidRDefault="009474AF" w:rsidP="009474AF">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en-CA"/>
        </w:rPr>
      </w:pPr>
      <w:r w:rsidRPr="009474AF">
        <w:rPr>
          <w:rFonts w:ascii="Times New Roman" w:eastAsia="Times New Roman" w:hAnsi="Times New Roman" w:cs="Times New Roman"/>
          <w:color w:val="000000"/>
          <w:sz w:val="27"/>
          <w:szCs w:val="27"/>
          <w:lang w:eastAsia="en-CA"/>
        </w:rPr>
        <w:t>Females, 62.8 percent</w:t>
      </w:r>
    </w:p>
    <w:p w14:paraId="26809A0D" w14:textId="1002F580" w:rsidR="007A50B5" w:rsidRDefault="007A50B5" w:rsidP="007A50B5">
      <w:pPr>
        <w:spacing w:before="100" w:beforeAutospacing="1" w:after="100" w:afterAutospacing="1" w:line="240" w:lineRule="auto"/>
        <w:ind w:left="720"/>
        <w:rPr>
          <w:rFonts w:ascii="Arial" w:hAnsi="Arial" w:cs="Arial"/>
          <w:color w:val="222222"/>
          <w:shd w:val="clear" w:color="auto" w:fill="FFFFFF"/>
        </w:rPr>
      </w:pPr>
      <w:r>
        <w:rPr>
          <w:rFonts w:ascii="Arial" w:hAnsi="Arial" w:cs="Arial"/>
          <w:color w:val="222222"/>
          <w:shd w:val="clear" w:color="auto" w:fill="FFFFFF"/>
        </w:rPr>
        <w:t>The data</w:t>
      </w:r>
      <w:r>
        <w:rPr>
          <w:rFonts w:ascii="Arial" w:hAnsi="Arial" w:cs="Arial"/>
          <w:color w:val="222222"/>
          <w:shd w:val="clear" w:color="auto" w:fill="FFFFFF"/>
        </w:rPr>
        <w:t xml:space="preserve"> shows how turnout by age group and gender has changed between 2011 and 2015. Overall, turnout increased by 6.8 percentage points for men and 8.4 percentage points for women. The same general pattern was observed in both elections, but the differences between men and women were not so pronounced in 2011.</w:t>
      </w:r>
    </w:p>
    <w:p w14:paraId="5C90E49F" w14:textId="3D9F9FA6" w:rsidR="007A50B5" w:rsidRDefault="007A50B5" w:rsidP="007A50B5">
      <w:pPr>
        <w:spacing w:before="100" w:beforeAutospacing="1" w:after="100" w:afterAutospacing="1" w:line="240" w:lineRule="auto"/>
        <w:ind w:left="720"/>
      </w:pPr>
    </w:p>
    <w:p w14:paraId="6AF1DEF1" w14:textId="77777777" w:rsidR="007A50B5" w:rsidRPr="007A50B5" w:rsidRDefault="007A50B5" w:rsidP="007A50B5">
      <w:pPr>
        <w:pStyle w:val="Heading1"/>
        <w:shd w:val="clear" w:color="auto" w:fill="FFFFFF"/>
        <w:rPr>
          <w:rFonts w:ascii="Arial-ItalicMT" w:hAnsi="Arial-ItalicMT" w:cs="Arial-ItalicMT"/>
          <w:i/>
          <w:iCs/>
          <w:sz w:val="20"/>
          <w:szCs w:val="20"/>
        </w:rPr>
      </w:pPr>
      <w:r w:rsidRPr="007A50B5">
        <w:rPr>
          <w:bCs w:val="0"/>
          <w:color w:val="000000"/>
          <w:kern w:val="0"/>
          <w:sz w:val="20"/>
          <w:szCs w:val="20"/>
        </w:rPr>
        <w:t>Source</w:t>
      </w:r>
      <w:r w:rsidRPr="007A50B5">
        <w:rPr>
          <w:b w:val="0"/>
          <w:bCs w:val="0"/>
          <w:color w:val="000000"/>
          <w:kern w:val="0"/>
          <w:sz w:val="20"/>
          <w:szCs w:val="20"/>
        </w:rPr>
        <w:t xml:space="preserve">: Elections Canada. Estimation of Voter Turnout by Age Group and Gender at the 2015 General Election. February 13, 2017. </w:t>
      </w:r>
      <w:hyperlink r:id="rId8" w:history="1">
        <w:r w:rsidRPr="007A50B5">
          <w:rPr>
            <w:rStyle w:val="Hyperlink"/>
            <w:rFonts w:ascii="Arial-ItalicMT" w:hAnsi="Arial-ItalicMT" w:cs="Arial-ItalicMT"/>
            <w:i/>
            <w:iCs/>
            <w:sz w:val="20"/>
            <w:szCs w:val="20"/>
          </w:rPr>
          <w:t>http://www.</w:t>
        </w:r>
        <w:r w:rsidRPr="007A50B5">
          <w:rPr>
            <w:rStyle w:val="Hyperlink"/>
            <w:rFonts w:ascii="Arial-ItalicMT" w:hAnsi="Arial-ItalicMT" w:cs="Arial-ItalicMT"/>
            <w:i/>
            <w:iCs/>
            <w:sz w:val="20"/>
            <w:szCs w:val="20"/>
          </w:rPr>
          <w:t>e</w:t>
        </w:r>
        <w:r w:rsidRPr="007A50B5">
          <w:rPr>
            <w:rStyle w:val="Hyperlink"/>
            <w:rFonts w:ascii="Arial-ItalicMT" w:hAnsi="Arial-ItalicMT" w:cs="Arial-ItalicMT"/>
            <w:i/>
            <w:iCs/>
            <w:sz w:val="20"/>
            <w:szCs w:val="20"/>
          </w:rPr>
          <w:t>lections.ca/content.aspx?section=res&amp;dir=rec/part/estim/42ge&amp;document=p1&amp;lang=e</w:t>
        </w:r>
      </w:hyperlink>
    </w:p>
    <w:p w14:paraId="2FBC6EC2" w14:textId="77777777" w:rsidR="007A50B5" w:rsidRPr="007A50B5" w:rsidRDefault="007A50B5" w:rsidP="007A50B5">
      <w:pPr>
        <w:spacing w:before="100" w:beforeAutospacing="1" w:after="100" w:afterAutospacing="1" w:line="240" w:lineRule="auto"/>
        <w:ind w:left="720"/>
      </w:pPr>
    </w:p>
    <w:p w14:paraId="2DDC3CDD" w14:textId="77777777" w:rsidR="007A50B5" w:rsidRDefault="007A50B5">
      <w:pPr>
        <w:rPr>
          <w:rFonts w:ascii="Arial-ItalicMT" w:hAnsi="Arial-ItalicMT" w:cs="Arial-ItalicMT"/>
          <w:b/>
          <w:iCs/>
          <w:sz w:val="24"/>
          <w:szCs w:val="28"/>
          <w:u w:val="single"/>
        </w:rPr>
      </w:pPr>
      <w:r>
        <w:rPr>
          <w:rFonts w:ascii="Arial-ItalicMT" w:hAnsi="Arial-ItalicMT" w:cs="Arial-ItalicMT"/>
          <w:b/>
          <w:iCs/>
          <w:sz w:val="24"/>
          <w:szCs w:val="28"/>
          <w:u w:val="single"/>
        </w:rPr>
        <w:br w:type="page"/>
      </w:r>
    </w:p>
    <w:p w14:paraId="68A3C190" w14:textId="1B1F9CE7" w:rsidR="009474AF" w:rsidRPr="007A50B5" w:rsidRDefault="007A50B5" w:rsidP="007A50B5">
      <w:pPr>
        <w:autoSpaceDE w:val="0"/>
        <w:autoSpaceDN w:val="0"/>
        <w:adjustRightInd w:val="0"/>
        <w:spacing w:after="0" w:line="240" w:lineRule="auto"/>
        <w:jc w:val="center"/>
        <w:rPr>
          <w:rFonts w:ascii="Arial-ItalicMT" w:hAnsi="Arial-ItalicMT" w:cs="Arial-ItalicMT"/>
          <w:b/>
          <w:iCs/>
          <w:sz w:val="24"/>
          <w:szCs w:val="28"/>
          <w:u w:val="single"/>
        </w:rPr>
      </w:pPr>
      <w:r>
        <w:rPr>
          <w:rFonts w:ascii="Arial-ItalicMT" w:hAnsi="Arial-ItalicMT" w:cs="Arial-ItalicMT"/>
          <w:b/>
          <w:iCs/>
          <w:sz w:val="24"/>
          <w:szCs w:val="28"/>
          <w:u w:val="single"/>
        </w:rPr>
        <w:lastRenderedPageBreak/>
        <w:t xml:space="preserve">Canada: </w:t>
      </w:r>
      <w:r w:rsidRPr="007A50B5">
        <w:rPr>
          <w:rFonts w:ascii="Arial-ItalicMT" w:hAnsi="Arial-ItalicMT" w:cs="Arial-ItalicMT"/>
          <w:b/>
          <w:iCs/>
          <w:sz w:val="24"/>
          <w:szCs w:val="28"/>
          <w:u w:val="single"/>
        </w:rPr>
        <w:t>Overall Population</w:t>
      </w:r>
    </w:p>
    <w:p w14:paraId="5A5D27CA" w14:textId="42CC6725" w:rsidR="009474AF" w:rsidRDefault="009474AF" w:rsidP="00F9630F">
      <w:pPr>
        <w:autoSpaceDE w:val="0"/>
        <w:autoSpaceDN w:val="0"/>
        <w:adjustRightInd w:val="0"/>
        <w:spacing w:after="0" w:line="240" w:lineRule="auto"/>
        <w:rPr>
          <w:rFonts w:ascii="Arial-ItalicMT" w:hAnsi="Arial-ItalicMT" w:cs="Arial-ItalicMT"/>
          <w:i/>
          <w:iCs/>
          <w:sz w:val="24"/>
          <w:szCs w:val="28"/>
        </w:rPr>
      </w:pPr>
    </w:p>
    <w:p w14:paraId="369DCC76" w14:textId="7707CC9D" w:rsidR="009474AF" w:rsidRPr="007A50B5" w:rsidRDefault="009474AF" w:rsidP="00F9630F">
      <w:pPr>
        <w:autoSpaceDE w:val="0"/>
        <w:autoSpaceDN w:val="0"/>
        <w:adjustRightInd w:val="0"/>
        <w:spacing w:after="0" w:line="240" w:lineRule="auto"/>
        <w:rPr>
          <w:rFonts w:ascii="Arial-ItalicMT" w:hAnsi="Arial-ItalicMT" w:cs="Arial-ItalicMT"/>
          <w:iCs/>
          <w:sz w:val="24"/>
          <w:szCs w:val="28"/>
        </w:rPr>
      </w:pPr>
      <w:r w:rsidRPr="007A50B5">
        <w:rPr>
          <w:rFonts w:ascii="Arial-ItalicMT" w:hAnsi="Arial-ItalicMT" w:cs="Arial-ItalicMT"/>
          <w:iCs/>
          <w:sz w:val="24"/>
          <w:szCs w:val="28"/>
        </w:rPr>
        <w:t xml:space="preserve">Women </w:t>
      </w:r>
      <w:r w:rsidR="007A50B5" w:rsidRPr="007A50B5">
        <w:rPr>
          <w:rFonts w:ascii="Arial-ItalicMT" w:hAnsi="Arial-ItalicMT" w:cs="Arial-ItalicMT"/>
          <w:iCs/>
          <w:sz w:val="24"/>
          <w:szCs w:val="28"/>
        </w:rPr>
        <w:t xml:space="preserve">make up </w:t>
      </w:r>
      <w:r w:rsidRPr="007A50B5">
        <w:rPr>
          <w:rFonts w:ascii="Arial-ItalicMT" w:hAnsi="Arial-ItalicMT" w:cs="Arial-ItalicMT"/>
          <w:iCs/>
          <w:sz w:val="24"/>
          <w:szCs w:val="28"/>
        </w:rPr>
        <w:t>50.4% of Canada’s population</w:t>
      </w:r>
    </w:p>
    <w:p w14:paraId="6608B735" w14:textId="77695A3F" w:rsidR="009474AF" w:rsidRDefault="009474AF" w:rsidP="00F9630F">
      <w:pPr>
        <w:autoSpaceDE w:val="0"/>
        <w:autoSpaceDN w:val="0"/>
        <w:adjustRightInd w:val="0"/>
        <w:spacing w:after="0" w:line="240" w:lineRule="auto"/>
        <w:rPr>
          <w:rFonts w:ascii="Arial-ItalicMT" w:hAnsi="Arial-ItalicMT" w:cs="Arial-ItalicMT"/>
          <w:i/>
          <w:iCs/>
          <w:sz w:val="24"/>
          <w:szCs w:val="28"/>
        </w:rPr>
      </w:pPr>
    </w:p>
    <w:p w14:paraId="19D6DCAA" w14:textId="41CB4A5E" w:rsidR="009474AF" w:rsidRDefault="009474AF" w:rsidP="009474AF">
      <w:pPr>
        <w:spacing w:after="0" w:line="240" w:lineRule="auto"/>
        <w:rPr>
          <w:rFonts w:ascii="Arial" w:eastAsia="Times New Roman" w:hAnsi="Arial" w:cs="Arial"/>
          <w:b/>
          <w:bCs/>
          <w:color w:val="000000"/>
          <w:sz w:val="24"/>
          <w:szCs w:val="24"/>
          <w:lang w:eastAsia="en-CA"/>
        </w:rPr>
      </w:pPr>
      <w:r w:rsidRPr="009474AF">
        <w:rPr>
          <w:rFonts w:ascii="Arial" w:eastAsia="Times New Roman" w:hAnsi="Arial" w:cs="Arial"/>
          <w:b/>
          <w:bCs/>
          <w:color w:val="000000"/>
          <w:sz w:val="24"/>
          <w:szCs w:val="24"/>
          <w:lang w:eastAsia="en-CA"/>
        </w:rPr>
        <w:t>35,151,728</w:t>
      </w:r>
      <w:r>
        <w:rPr>
          <w:rFonts w:ascii="Arial" w:eastAsia="Times New Roman" w:hAnsi="Arial" w:cs="Arial"/>
          <w:b/>
          <w:bCs/>
          <w:color w:val="000000"/>
          <w:sz w:val="24"/>
          <w:szCs w:val="24"/>
          <w:lang w:eastAsia="en-CA"/>
        </w:rPr>
        <w:t xml:space="preserve"> </w:t>
      </w:r>
      <w:r w:rsidR="007A50B5">
        <w:rPr>
          <w:rFonts w:ascii="Arial" w:eastAsia="Times New Roman" w:hAnsi="Arial" w:cs="Arial"/>
          <w:b/>
          <w:bCs/>
          <w:color w:val="000000"/>
          <w:sz w:val="24"/>
          <w:szCs w:val="24"/>
          <w:lang w:eastAsia="en-CA"/>
        </w:rPr>
        <w:t xml:space="preserve">people make up </w:t>
      </w:r>
      <w:r>
        <w:rPr>
          <w:rFonts w:ascii="Arial" w:eastAsia="Times New Roman" w:hAnsi="Arial" w:cs="Arial"/>
          <w:b/>
          <w:bCs/>
          <w:color w:val="000000"/>
          <w:sz w:val="24"/>
          <w:szCs w:val="24"/>
          <w:lang w:eastAsia="en-CA"/>
        </w:rPr>
        <w:t>Canada’s population as of 2016</w:t>
      </w:r>
    </w:p>
    <w:p w14:paraId="26173C3E" w14:textId="5CC5C02D" w:rsidR="009474AF" w:rsidRDefault="009474AF" w:rsidP="009474AF">
      <w:pPr>
        <w:spacing w:after="0" w:line="240" w:lineRule="auto"/>
        <w:rPr>
          <w:rFonts w:ascii="Arial" w:eastAsia="Times New Roman" w:hAnsi="Arial" w:cs="Arial"/>
          <w:color w:val="000000"/>
          <w:sz w:val="24"/>
          <w:szCs w:val="24"/>
          <w:lang w:eastAsia="en-CA"/>
        </w:rPr>
      </w:pPr>
    </w:p>
    <w:p w14:paraId="296A5857" w14:textId="70C8994E" w:rsidR="009474AF" w:rsidRDefault="009474AF" w:rsidP="009474AF">
      <w:pPr>
        <w:spacing w:after="0" w:line="240" w:lineRule="auto"/>
        <w:rPr>
          <w:rFonts w:ascii="Arial" w:hAnsi="Arial" w:cs="Arial"/>
          <w:color w:val="000000"/>
          <w:shd w:val="clear" w:color="auto" w:fill="EEEEEE"/>
        </w:rPr>
      </w:pPr>
      <w:r>
        <w:rPr>
          <w:rFonts w:ascii="Arial" w:hAnsi="Arial" w:cs="Arial"/>
          <w:color w:val="000000"/>
          <w:shd w:val="clear" w:color="auto" w:fill="EEEEEE"/>
        </w:rPr>
        <w:t xml:space="preserve">320,932 immigrants </w:t>
      </w:r>
      <w:r w:rsidR="007A50B5">
        <w:rPr>
          <w:rFonts w:ascii="Arial" w:hAnsi="Arial" w:cs="Arial"/>
          <w:color w:val="000000"/>
          <w:shd w:val="clear" w:color="auto" w:fill="EEEEEE"/>
        </w:rPr>
        <w:t xml:space="preserve">came </w:t>
      </w:r>
      <w:r>
        <w:rPr>
          <w:rFonts w:ascii="Arial" w:hAnsi="Arial" w:cs="Arial"/>
          <w:color w:val="000000"/>
          <w:shd w:val="clear" w:color="auto" w:fill="EEEEEE"/>
        </w:rPr>
        <w:t>to Canada in 2015/16</w:t>
      </w:r>
    </w:p>
    <w:p w14:paraId="418A690E" w14:textId="77777777" w:rsidR="009474AF" w:rsidRPr="009474AF" w:rsidRDefault="009474AF" w:rsidP="009474AF">
      <w:pPr>
        <w:spacing w:after="0" w:line="240" w:lineRule="auto"/>
        <w:rPr>
          <w:rFonts w:ascii="Arial" w:eastAsia="Times New Roman" w:hAnsi="Arial" w:cs="Arial"/>
          <w:color w:val="000000"/>
          <w:sz w:val="24"/>
          <w:szCs w:val="24"/>
          <w:lang w:eastAsia="en-CA"/>
        </w:rPr>
      </w:pPr>
    </w:p>
    <w:tbl>
      <w:tblPr>
        <w:tblW w:w="0" w:type="auto"/>
        <w:tblBorders>
          <w:top w:val="single" w:sz="6" w:space="0" w:color="D4D4D4"/>
          <w:left w:val="single" w:sz="6" w:space="0" w:color="D4D4D4"/>
          <w:bottom w:val="single" w:sz="6" w:space="0" w:color="D4D4D4"/>
          <w:right w:val="single" w:sz="6" w:space="0" w:color="D4D4D4"/>
        </w:tblBorders>
        <w:shd w:val="clear" w:color="auto" w:fill="FFFFFF"/>
        <w:tblCellMar>
          <w:top w:w="15" w:type="dxa"/>
          <w:left w:w="15" w:type="dxa"/>
          <w:bottom w:w="15" w:type="dxa"/>
          <w:right w:w="15" w:type="dxa"/>
        </w:tblCellMar>
        <w:tblLook w:val="04A0" w:firstRow="1" w:lastRow="0" w:firstColumn="1" w:lastColumn="0" w:noHBand="0" w:noVBand="1"/>
      </w:tblPr>
      <w:tblGrid>
        <w:gridCol w:w="4620"/>
        <w:gridCol w:w="1580"/>
        <w:gridCol w:w="1580"/>
        <w:gridCol w:w="1580"/>
      </w:tblGrid>
      <w:tr w:rsidR="009474AF" w:rsidRPr="009474AF" w14:paraId="191D92AA" w14:textId="77777777" w:rsidTr="009474AF">
        <w:trPr>
          <w:trHeight w:val="299"/>
        </w:trPr>
        <w:tc>
          <w:tcPr>
            <w:tcW w:w="0" w:type="auto"/>
            <w:gridSpan w:val="4"/>
            <w:vMerge w:val="restart"/>
            <w:tcBorders>
              <w:top w:val="nil"/>
              <w:left w:val="nil"/>
              <w:bottom w:val="nil"/>
              <w:right w:val="nil"/>
            </w:tcBorders>
            <w:shd w:val="clear" w:color="auto" w:fill="EEEEEE"/>
            <w:tcMar>
              <w:top w:w="75" w:type="dxa"/>
              <w:left w:w="75" w:type="dxa"/>
              <w:bottom w:w="75" w:type="dxa"/>
              <w:right w:w="75" w:type="dxa"/>
            </w:tcMar>
            <w:vAlign w:val="center"/>
            <w:hideMark/>
          </w:tcPr>
          <w:p w14:paraId="28B093A9" w14:textId="77777777" w:rsidR="009474AF" w:rsidRPr="009474AF" w:rsidRDefault="009474AF" w:rsidP="009474AF">
            <w:pPr>
              <w:spacing w:after="0" w:line="240" w:lineRule="auto"/>
              <w:rPr>
                <w:rFonts w:ascii="Arial" w:eastAsia="Times New Roman" w:hAnsi="Arial" w:cs="Arial"/>
                <w:b/>
                <w:bCs/>
                <w:color w:val="333333"/>
                <w:sz w:val="26"/>
                <w:szCs w:val="26"/>
                <w:lang w:eastAsia="en-CA"/>
              </w:rPr>
            </w:pPr>
            <w:r w:rsidRPr="009474AF">
              <w:rPr>
                <w:rFonts w:ascii="Arial" w:eastAsia="Times New Roman" w:hAnsi="Arial" w:cs="Arial"/>
                <w:b/>
                <w:bCs/>
                <w:color w:val="333333"/>
                <w:sz w:val="26"/>
                <w:szCs w:val="26"/>
                <w:lang w:eastAsia="en-CA"/>
              </w:rPr>
              <w:t>Table 3</w:t>
            </w:r>
            <w:r w:rsidRPr="009474AF">
              <w:rPr>
                <w:rFonts w:ascii="Arial" w:eastAsia="Times New Roman" w:hAnsi="Arial" w:cs="Arial"/>
                <w:b/>
                <w:bCs/>
                <w:color w:val="333333"/>
                <w:sz w:val="26"/>
                <w:szCs w:val="26"/>
                <w:lang w:eastAsia="en-CA"/>
              </w:rPr>
              <w:br/>
              <w:t>Age composition of the Canadian population</w:t>
            </w:r>
            <w:r w:rsidRPr="009474AF">
              <w:rPr>
                <w:rFonts w:ascii="Arial" w:eastAsia="Times New Roman" w:hAnsi="Arial" w:cs="Arial"/>
                <w:b/>
                <w:bCs/>
                <w:color w:val="333333"/>
                <w:sz w:val="26"/>
                <w:szCs w:val="26"/>
                <w:lang w:eastAsia="en-CA"/>
              </w:rPr>
              <w:br/>
              <w:t>Table summary</w:t>
            </w:r>
            <w:r w:rsidRPr="009474AF">
              <w:rPr>
                <w:rFonts w:ascii="Arial" w:eastAsia="Times New Roman" w:hAnsi="Arial" w:cs="Arial"/>
                <w:b/>
                <w:bCs/>
                <w:color w:val="333333"/>
                <w:sz w:val="26"/>
                <w:szCs w:val="26"/>
                <w:lang w:eastAsia="en-CA"/>
              </w:rPr>
              <w:br/>
              <w:t>This table displays the results of Age composition of the Canadian population 1996, 2006 and 2016, calculated using % of the population and median age units of measure (appearing as column headers).</w:t>
            </w:r>
          </w:p>
        </w:tc>
      </w:tr>
      <w:tr w:rsidR="009474AF" w:rsidRPr="009474AF" w14:paraId="62FEC384" w14:textId="77777777" w:rsidTr="009474AF">
        <w:tc>
          <w:tcPr>
            <w:tcW w:w="0" w:type="auto"/>
            <w:vMerge w:val="restart"/>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1E903630" w14:textId="77777777" w:rsidR="009474AF" w:rsidRPr="009474AF" w:rsidRDefault="009474AF" w:rsidP="009474AF">
            <w:pPr>
              <w:spacing w:after="0" w:line="240" w:lineRule="auto"/>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 </w:t>
            </w:r>
          </w:p>
        </w:tc>
        <w:tc>
          <w:tcPr>
            <w:tcW w:w="0" w:type="auto"/>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1D7B8C48" w14:textId="77777777" w:rsidR="009474AF" w:rsidRPr="009474AF" w:rsidRDefault="009474AF" w:rsidP="009474AF">
            <w:pPr>
              <w:spacing w:after="0" w:line="240" w:lineRule="auto"/>
              <w:jc w:val="right"/>
              <w:rPr>
                <w:rFonts w:ascii="Arial" w:eastAsia="Times New Roman" w:hAnsi="Arial" w:cs="Arial"/>
                <w:b/>
                <w:bCs/>
                <w:color w:val="000000"/>
                <w:sz w:val="24"/>
                <w:szCs w:val="24"/>
                <w:lang w:eastAsia="en-CA"/>
              </w:rPr>
            </w:pPr>
            <w:r w:rsidRPr="009474AF">
              <w:rPr>
                <w:rFonts w:ascii="Arial" w:eastAsia="Times New Roman" w:hAnsi="Arial" w:cs="Arial"/>
                <w:b/>
                <w:bCs/>
                <w:color w:val="000000"/>
                <w:sz w:val="24"/>
                <w:szCs w:val="24"/>
                <w:lang w:eastAsia="en-CA"/>
              </w:rPr>
              <w:t>1996</w:t>
            </w:r>
          </w:p>
        </w:tc>
        <w:tc>
          <w:tcPr>
            <w:tcW w:w="0" w:type="auto"/>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27C16C84" w14:textId="77777777" w:rsidR="009474AF" w:rsidRPr="009474AF" w:rsidRDefault="009474AF" w:rsidP="009474AF">
            <w:pPr>
              <w:spacing w:after="0" w:line="240" w:lineRule="auto"/>
              <w:jc w:val="right"/>
              <w:rPr>
                <w:rFonts w:ascii="Arial" w:eastAsia="Times New Roman" w:hAnsi="Arial" w:cs="Arial"/>
                <w:b/>
                <w:bCs/>
                <w:color w:val="000000"/>
                <w:sz w:val="24"/>
                <w:szCs w:val="24"/>
                <w:lang w:eastAsia="en-CA"/>
              </w:rPr>
            </w:pPr>
            <w:r w:rsidRPr="009474AF">
              <w:rPr>
                <w:rFonts w:ascii="Arial" w:eastAsia="Times New Roman" w:hAnsi="Arial" w:cs="Arial"/>
                <w:b/>
                <w:bCs/>
                <w:color w:val="000000"/>
                <w:sz w:val="24"/>
                <w:szCs w:val="24"/>
                <w:lang w:eastAsia="en-CA"/>
              </w:rPr>
              <w:t>2006</w:t>
            </w:r>
          </w:p>
        </w:tc>
        <w:tc>
          <w:tcPr>
            <w:tcW w:w="0" w:type="auto"/>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426CCCEF" w14:textId="77777777" w:rsidR="009474AF" w:rsidRPr="009474AF" w:rsidRDefault="009474AF" w:rsidP="009474AF">
            <w:pPr>
              <w:spacing w:after="0" w:line="240" w:lineRule="auto"/>
              <w:jc w:val="right"/>
              <w:rPr>
                <w:rFonts w:ascii="Arial" w:eastAsia="Times New Roman" w:hAnsi="Arial" w:cs="Arial"/>
                <w:b/>
                <w:bCs/>
                <w:color w:val="000000"/>
                <w:sz w:val="24"/>
                <w:szCs w:val="24"/>
                <w:lang w:eastAsia="en-CA"/>
              </w:rPr>
            </w:pPr>
            <w:r w:rsidRPr="009474AF">
              <w:rPr>
                <w:rFonts w:ascii="Arial" w:eastAsia="Times New Roman" w:hAnsi="Arial" w:cs="Arial"/>
                <w:b/>
                <w:bCs/>
                <w:color w:val="000000"/>
                <w:sz w:val="24"/>
                <w:szCs w:val="24"/>
                <w:lang w:eastAsia="en-CA"/>
              </w:rPr>
              <w:t>2016</w:t>
            </w:r>
          </w:p>
        </w:tc>
      </w:tr>
      <w:tr w:rsidR="009474AF" w:rsidRPr="009474AF" w14:paraId="7BF4C467" w14:textId="77777777" w:rsidTr="009474AF">
        <w:tc>
          <w:tcPr>
            <w:tcW w:w="0" w:type="auto"/>
            <w:vMerge/>
            <w:tcBorders>
              <w:top w:val="single" w:sz="6" w:space="0" w:color="D4D4D4"/>
              <w:left w:val="single" w:sz="6" w:space="0" w:color="D4D4D4"/>
              <w:bottom w:val="single" w:sz="6" w:space="0" w:color="D4D4D4"/>
              <w:right w:val="single" w:sz="6" w:space="0" w:color="D4D4D4"/>
            </w:tcBorders>
            <w:shd w:val="clear" w:color="auto" w:fill="FFFFFF"/>
            <w:vAlign w:val="center"/>
            <w:hideMark/>
          </w:tcPr>
          <w:p w14:paraId="629F7EDC" w14:textId="77777777" w:rsidR="009474AF" w:rsidRPr="009474AF" w:rsidRDefault="009474AF" w:rsidP="009474AF">
            <w:pPr>
              <w:spacing w:after="0" w:line="240" w:lineRule="auto"/>
              <w:rPr>
                <w:rFonts w:ascii="Arial" w:eastAsia="Times New Roman" w:hAnsi="Arial" w:cs="Arial"/>
                <w:color w:val="000000"/>
                <w:sz w:val="24"/>
                <w:szCs w:val="24"/>
                <w:lang w:eastAsia="en-CA"/>
              </w:rPr>
            </w:pPr>
          </w:p>
        </w:tc>
        <w:tc>
          <w:tcPr>
            <w:tcW w:w="0" w:type="auto"/>
            <w:gridSpan w:val="3"/>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1BD2AAF2" w14:textId="77777777" w:rsidR="009474AF" w:rsidRPr="009474AF" w:rsidRDefault="009474AF" w:rsidP="009474AF">
            <w:pPr>
              <w:spacing w:after="0" w:line="240" w:lineRule="auto"/>
              <w:jc w:val="center"/>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 of the population</w:t>
            </w:r>
          </w:p>
        </w:tc>
      </w:tr>
      <w:tr w:rsidR="009474AF" w:rsidRPr="009474AF" w14:paraId="41570BCB" w14:textId="77777777" w:rsidTr="009474AF">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781F8FFC" w14:textId="77777777" w:rsidR="009474AF" w:rsidRPr="009474AF" w:rsidRDefault="009474AF" w:rsidP="009474AF">
            <w:pPr>
              <w:spacing w:after="0" w:line="240" w:lineRule="auto"/>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0 to 17 years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6DE3BE64"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24.3</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550BE84E"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21.5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44DBDA6B"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19.3</w:t>
            </w:r>
          </w:p>
        </w:tc>
      </w:tr>
      <w:tr w:rsidR="009474AF" w:rsidRPr="009474AF" w14:paraId="705AAFA1" w14:textId="77777777" w:rsidTr="009474AF">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436C4B2E" w14:textId="77777777" w:rsidR="009474AF" w:rsidRPr="009474AF" w:rsidRDefault="009474AF" w:rsidP="009474AF">
            <w:pPr>
              <w:spacing w:after="0" w:line="240" w:lineRule="auto"/>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18 to 24 years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2C8CF4C9"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9.4</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36978B07"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9.6</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6EBD545F"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9.2</w:t>
            </w:r>
          </w:p>
        </w:tc>
      </w:tr>
      <w:tr w:rsidR="009474AF" w:rsidRPr="009474AF" w14:paraId="09225354" w14:textId="77777777" w:rsidTr="009474AF">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62109BB6" w14:textId="77777777" w:rsidR="009474AF" w:rsidRPr="009474AF" w:rsidRDefault="009474AF" w:rsidP="009474AF">
            <w:pPr>
              <w:spacing w:after="0" w:line="240" w:lineRule="auto"/>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25 to 44 years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3232886F"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32.8</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57A8D2B4"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28.8</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02A82F11"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27.1</w:t>
            </w:r>
          </w:p>
        </w:tc>
      </w:tr>
      <w:tr w:rsidR="009474AF" w:rsidRPr="009474AF" w14:paraId="4B0A77FA" w14:textId="77777777" w:rsidTr="009474AF">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04E3812F" w14:textId="77777777" w:rsidR="009474AF" w:rsidRPr="009474AF" w:rsidRDefault="009474AF" w:rsidP="009474AF">
            <w:pPr>
              <w:spacing w:after="0" w:line="240" w:lineRule="auto"/>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45 to 64 years</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26DF8D02"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21.3</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69313EFF"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26.9</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214ABB91"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27.8</w:t>
            </w:r>
          </w:p>
        </w:tc>
      </w:tr>
      <w:tr w:rsidR="009474AF" w:rsidRPr="009474AF" w14:paraId="5726D081" w14:textId="77777777" w:rsidTr="009474AF">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6BA9848A" w14:textId="77777777" w:rsidR="009474AF" w:rsidRPr="009474AF" w:rsidRDefault="009474AF" w:rsidP="009474AF">
            <w:pPr>
              <w:spacing w:after="0" w:line="240" w:lineRule="auto"/>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65 years and older</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614E905A"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12.1</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1E04AE08"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13.2</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34951A83"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16.5</w:t>
            </w:r>
          </w:p>
        </w:tc>
      </w:tr>
      <w:tr w:rsidR="009474AF" w:rsidRPr="009474AF" w14:paraId="4755A9F4" w14:textId="77777777" w:rsidTr="009474AF">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225" w:type="dxa"/>
              <w:bottom w:w="75" w:type="dxa"/>
              <w:right w:w="75" w:type="dxa"/>
            </w:tcMar>
            <w:hideMark/>
          </w:tcPr>
          <w:p w14:paraId="0719D88E" w14:textId="77777777" w:rsidR="009474AF" w:rsidRPr="009474AF" w:rsidRDefault="009474AF" w:rsidP="009474AF">
            <w:pPr>
              <w:spacing w:after="0" w:line="240" w:lineRule="auto"/>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90 years and older</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05958473"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0.4</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5406E07B"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0.5</w:t>
            </w:r>
          </w:p>
        </w:tc>
        <w:tc>
          <w:tcPr>
            <w:tcW w:w="0" w:type="auto"/>
            <w:tcBorders>
              <w:top w:val="single" w:sz="6" w:space="0" w:color="D4D4D4"/>
              <w:left w:val="single" w:sz="6" w:space="0" w:color="D4D4D4"/>
              <w:bottom w:val="single" w:sz="6" w:space="0" w:color="D4D4D4"/>
              <w:right w:val="single" w:sz="6" w:space="0" w:color="D4D4D4"/>
            </w:tcBorders>
            <w:shd w:val="clear" w:color="auto" w:fill="FFFFFF"/>
            <w:tcMar>
              <w:top w:w="75" w:type="dxa"/>
              <w:left w:w="75" w:type="dxa"/>
              <w:bottom w:w="75" w:type="dxa"/>
              <w:right w:w="75" w:type="dxa"/>
            </w:tcMar>
            <w:hideMark/>
          </w:tcPr>
          <w:p w14:paraId="26DEAB12"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0.8</w:t>
            </w:r>
          </w:p>
        </w:tc>
      </w:tr>
      <w:tr w:rsidR="009474AF" w:rsidRPr="009474AF" w14:paraId="370668A5" w14:textId="77777777" w:rsidTr="009474AF">
        <w:tc>
          <w:tcPr>
            <w:tcW w:w="0" w:type="auto"/>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3C65DC5E" w14:textId="77777777" w:rsidR="009474AF" w:rsidRPr="009474AF" w:rsidRDefault="009474AF" w:rsidP="009474AF">
            <w:pPr>
              <w:spacing w:after="0" w:line="240" w:lineRule="auto"/>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   </w:t>
            </w:r>
          </w:p>
        </w:tc>
        <w:tc>
          <w:tcPr>
            <w:tcW w:w="0" w:type="auto"/>
            <w:gridSpan w:val="3"/>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2AC3DD1D" w14:textId="77777777" w:rsidR="009474AF" w:rsidRPr="009474AF" w:rsidRDefault="009474AF" w:rsidP="009474AF">
            <w:pPr>
              <w:spacing w:after="0" w:line="240" w:lineRule="auto"/>
              <w:jc w:val="center"/>
              <w:rPr>
                <w:rFonts w:ascii="Arial" w:eastAsia="Times New Roman" w:hAnsi="Arial" w:cs="Arial"/>
                <w:color w:val="000000"/>
                <w:sz w:val="24"/>
                <w:szCs w:val="24"/>
                <w:lang w:eastAsia="en-CA"/>
              </w:rPr>
            </w:pPr>
            <w:r w:rsidRPr="009474AF">
              <w:rPr>
                <w:rFonts w:ascii="Arial" w:eastAsia="Times New Roman" w:hAnsi="Arial" w:cs="Arial"/>
                <w:color w:val="000000"/>
                <w:sz w:val="24"/>
                <w:szCs w:val="24"/>
                <w:lang w:eastAsia="en-CA"/>
              </w:rPr>
              <w:t>median age</w:t>
            </w:r>
          </w:p>
        </w:tc>
      </w:tr>
      <w:tr w:rsidR="009474AF" w:rsidRPr="009474AF" w14:paraId="18595659" w14:textId="77777777" w:rsidTr="009474AF">
        <w:tc>
          <w:tcPr>
            <w:tcW w:w="0" w:type="auto"/>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0BE943E2" w14:textId="77777777" w:rsidR="009474AF" w:rsidRPr="009474AF" w:rsidRDefault="009474AF" w:rsidP="009474AF">
            <w:pPr>
              <w:spacing w:after="0" w:line="240" w:lineRule="auto"/>
              <w:rPr>
                <w:rFonts w:ascii="Arial" w:eastAsia="Times New Roman" w:hAnsi="Arial" w:cs="Arial"/>
                <w:color w:val="000000"/>
                <w:sz w:val="24"/>
                <w:szCs w:val="24"/>
                <w:lang w:eastAsia="en-CA"/>
              </w:rPr>
            </w:pPr>
            <w:r w:rsidRPr="009474AF">
              <w:rPr>
                <w:rFonts w:ascii="Arial" w:eastAsia="Times New Roman" w:hAnsi="Arial" w:cs="Arial"/>
                <w:b/>
                <w:bCs/>
                <w:color w:val="000000"/>
                <w:sz w:val="24"/>
                <w:szCs w:val="24"/>
                <w:lang w:eastAsia="en-CA"/>
              </w:rPr>
              <w:t>Total population</w:t>
            </w:r>
          </w:p>
        </w:tc>
        <w:tc>
          <w:tcPr>
            <w:tcW w:w="0" w:type="auto"/>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0EDDE296"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b/>
                <w:bCs/>
                <w:color w:val="000000"/>
                <w:sz w:val="24"/>
                <w:szCs w:val="24"/>
                <w:lang w:eastAsia="en-CA"/>
              </w:rPr>
              <w:t>35.2</w:t>
            </w:r>
          </w:p>
        </w:tc>
        <w:tc>
          <w:tcPr>
            <w:tcW w:w="0" w:type="auto"/>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714A51C8"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b/>
                <w:bCs/>
                <w:color w:val="000000"/>
                <w:sz w:val="24"/>
                <w:szCs w:val="24"/>
                <w:lang w:eastAsia="en-CA"/>
              </w:rPr>
              <w:t>38.9</w:t>
            </w:r>
          </w:p>
        </w:tc>
        <w:tc>
          <w:tcPr>
            <w:tcW w:w="0" w:type="auto"/>
            <w:tcBorders>
              <w:top w:val="single" w:sz="6" w:space="0" w:color="D4D4D4"/>
              <w:left w:val="single" w:sz="6" w:space="0" w:color="D4D4D4"/>
              <w:bottom w:val="single" w:sz="6" w:space="0" w:color="D4D4D4"/>
              <w:right w:val="single" w:sz="6" w:space="0" w:color="D4D4D4"/>
            </w:tcBorders>
            <w:shd w:val="clear" w:color="auto" w:fill="EEEEEE"/>
            <w:tcMar>
              <w:top w:w="75" w:type="dxa"/>
              <w:left w:w="75" w:type="dxa"/>
              <w:bottom w:w="75" w:type="dxa"/>
              <w:right w:w="75" w:type="dxa"/>
            </w:tcMar>
            <w:hideMark/>
          </w:tcPr>
          <w:p w14:paraId="4B3055D3" w14:textId="77777777" w:rsidR="009474AF" w:rsidRPr="009474AF" w:rsidRDefault="009474AF" w:rsidP="009474AF">
            <w:pPr>
              <w:spacing w:after="0" w:line="240" w:lineRule="auto"/>
              <w:jc w:val="right"/>
              <w:rPr>
                <w:rFonts w:ascii="Arial" w:eastAsia="Times New Roman" w:hAnsi="Arial" w:cs="Arial"/>
                <w:color w:val="000000"/>
                <w:sz w:val="24"/>
                <w:szCs w:val="24"/>
                <w:lang w:eastAsia="en-CA"/>
              </w:rPr>
            </w:pPr>
            <w:r w:rsidRPr="009474AF">
              <w:rPr>
                <w:rFonts w:ascii="Arial" w:eastAsia="Times New Roman" w:hAnsi="Arial" w:cs="Arial"/>
                <w:b/>
                <w:bCs/>
                <w:color w:val="000000"/>
                <w:sz w:val="24"/>
                <w:szCs w:val="24"/>
                <w:lang w:eastAsia="en-CA"/>
              </w:rPr>
              <w:t>40.6</w:t>
            </w:r>
          </w:p>
        </w:tc>
      </w:tr>
    </w:tbl>
    <w:p w14:paraId="1FB8159B" w14:textId="6A0A8DAE" w:rsidR="009474AF" w:rsidRDefault="009474AF" w:rsidP="00F9630F">
      <w:pPr>
        <w:autoSpaceDE w:val="0"/>
        <w:autoSpaceDN w:val="0"/>
        <w:adjustRightInd w:val="0"/>
        <w:spacing w:after="0" w:line="240" w:lineRule="auto"/>
        <w:rPr>
          <w:rFonts w:ascii="Arial-ItalicMT" w:hAnsi="Arial-ItalicMT" w:cs="Arial-ItalicMT"/>
          <w:i/>
          <w:iCs/>
          <w:sz w:val="24"/>
          <w:szCs w:val="28"/>
        </w:rPr>
      </w:pPr>
    </w:p>
    <w:p w14:paraId="088BD068" w14:textId="00B6A785" w:rsidR="007A50B5" w:rsidRDefault="007A50B5" w:rsidP="00F9630F">
      <w:pPr>
        <w:autoSpaceDE w:val="0"/>
        <w:autoSpaceDN w:val="0"/>
        <w:adjustRightInd w:val="0"/>
        <w:spacing w:after="0" w:line="240" w:lineRule="auto"/>
        <w:rPr>
          <w:rFonts w:ascii="Arial-ItalicMT" w:hAnsi="Arial-ItalicMT" w:cs="Arial-ItalicMT"/>
          <w:iCs/>
          <w:sz w:val="24"/>
          <w:szCs w:val="28"/>
        </w:rPr>
      </w:pPr>
      <w:r w:rsidRPr="007A50B5">
        <w:rPr>
          <w:rFonts w:ascii="Arial-ItalicMT" w:hAnsi="Arial-ItalicMT" w:cs="Arial-ItalicMT"/>
          <w:b/>
          <w:iCs/>
          <w:sz w:val="24"/>
          <w:szCs w:val="28"/>
        </w:rPr>
        <w:t>Source</w:t>
      </w:r>
      <w:r w:rsidRPr="007A50B5">
        <w:rPr>
          <w:rFonts w:ascii="Arial-ItalicMT" w:hAnsi="Arial-ItalicMT" w:cs="Arial-ItalicMT"/>
          <w:iCs/>
          <w:sz w:val="24"/>
          <w:szCs w:val="28"/>
        </w:rPr>
        <w:t>: Statistics Canada. Canada at a Glance, 2017</w:t>
      </w:r>
      <w:r>
        <w:rPr>
          <w:rFonts w:ascii="Arial-ItalicMT" w:hAnsi="Arial-ItalicMT" w:cs="Arial-ItalicMT"/>
          <w:iCs/>
          <w:sz w:val="24"/>
          <w:szCs w:val="28"/>
        </w:rPr>
        <w:t xml:space="preserve">: </w:t>
      </w:r>
      <w:r w:rsidRPr="007A50B5">
        <w:rPr>
          <w:rFonts w:ascii="Arial-ItalicMT" w:hAnsi="Arial-ItalicMT" w:cs="Arial-ItalicMT"/>
          <w:iCs/>
          <w:sz w:val="24"/>
          <w:szCs w:val="28"/>
        </w:rPr>
        <w:t>Population</w:t>
      </w:r>
      <w:r w:rsidRPr="007A50B5">
        <w:rPr>
          <w:rFonts w:ascii="Arial-ItalicMT" w:hAnsi="Arial-ItalicMT" w:cs="Arial-ItalicMT"/>
          <w:iCs/>
          <w:sz w:val="24"/>
          <w:szCs w:val="28"/>
        </w:rPr>
        <w:t>.</w:t>
      </w:r>
      <w:r>
        <w:rPr>
          <w:rFonts w:ascii="Arial-ItalicMT" w:hAnsi="Arial-ItalicMT" w:cs="Arial-ItalicMT"/>
          <w:iCs/>
          <w:sz w:val="24"/>
          <w:szCs w:val="28"/>
        </w:rPr>
        <w:t xml:space="preserve"> March 31, 2017. </w:t>
      </w:r>
      <w:hyperlink r:id="rId9" w:history="1">
        <w:r w:rsidRPr="00F4522A">
          <w:rPr>
            <w:rStyle w:val="Hyperlink"/>
            <w:rFonts w:ascii="Arial-ItalicMT" w:hAnsi="Arial-ItalicMT" w:cs="Arial-ItalicMT"/>
            <w:iCs/>
            <w:sz w:val="24"/>
            <w:szCs w:val="28"/>
          </w:rPr>
          <w:t>https://www.statcan.gc.ca/pub/12-581-x/2017000/pop-eng.htm</w:t>
        </w:r>
      </w:hyperlink>
    </w:p>
    <w:p w14:paraId="41108E1E" w14:textId="77777777" w:rsidR="008373BE" w:rsidRDefault="008373BE" w:rsidP="00F9630F">
      <w:pPr>
        <w:autoSpaceDE w:val="0"/>
        <w:autoSpaceDN w:val="0"/>
        <w:adjustRightInd w:val="0"/>
        <w:spacing w:after="0" w:line="240" w:lineRule="auto"/>
        <w:rPr>
          <w:rFonts w:ascii="Arial-ItalicMT" w:hAnsi="Arial-ItalicMT" w:cs="Arial-ItalicMT"/>
          <w:iCs/>
          <w:sz w:val="24"/>
          <w:szCs w:val="28"/>
        </w:rPr>
      </w:pPr>
    </w:p>
    <w:p w14:paraId="1AA928D1" w14:textId="77777777" w:rsidR="00742D01" w:rsidRDefault="00742D01">
      <w:pPr>
        <w:rPr>
          <w:rFonts w:ascii="Arial-ItalicMT" w:hAnsi="Arial-ItalicMT" w:cs="Arial-ItalicMT"/>
          <w:iCs/>
          <w:sz w:val="24"/>
          <w:szCs w:val="28"/>
        </w:rPr>
      </w:pPr>
      <w:r>
        <w:rPr>
          <w:rFonts w:ascii="Arial-ItalicMT" w:hAnsi="Arial-ItalicMT" w:cs="Arial-ItalicMT"/>
          <w:iCs/>
          <w:sz w:val="24"/>
          <w:szCs w:val="28"/>
        </w:rPr>
        <w:br w:type="page"/>
      </w:r>
    </w:p>
    <w:p w14:paraId="7629D648" w14:textId="121566B2" w:rsidR="00742D01" w:rsidRDefault="004C04E9" w:rsidP="00F9630F">
      <w:pPr>
        <w:autoSpaceDE w:val="0"/>
        <w:autoSpaceDN w:val="0"/>
        <w:adjustRightInd w:val="0"/>
        <w:spacing w:after="0" w:line="240" w:lineRule="auto"/>
        <w:rPr>
          <w:rFonts w:ascii="Arial-ItalicMT" w:hAnsi="Arial-ItalicMT" w:cs="Arial-ItalicMT"/>
          <w:b/>
          <w:iCs/>
          <w:sz w:val="24"/>
          <w:szCs w:val="28"/>
        </w:rPr>
      </w:pPr>
      <w:r>
        <w:rPr>
          <w:rFonts w:ascii="Arial-ItalicMT" w:hAnsi="Arial-ItalicMT" w:cs="Arial-ItalicMT"/>
          <w:b/>
          <w:iCs/>
          <w:sz w:val="24"/>
          <w:szCs w:val="28"/>
        </w:rPr>
        <w:lastRenderedPageBreak/>
        <w:t>Possible</w:t>
      </w:r>
      <w:bookmarkStart w:id="2" w:name="_GoBack"/>
      <w:bookmarkEnd w:id="2"/>
      <w:r w:rsidR="00742D01" w:rsidRPr="00742D01">
        <w:rPr>
          <w:rFonts w:ascii="Arial-ItalicMT" w:hAnsi="Arial-ItalicMT" w:cs="Arial-ItalicMT"/>
          <w:b/>
          <w:iCs/>
          <w:sz w:val="24"/>
          <w:szCs w:val="28"/>
        </w:rPr>
        <w:t xml:space="preserve"> Criteria for Democracy</w:t>
      </w:r>
    </w:p>
    <w:p w14:paraId="7AF2F450" w14:textId="77777777" w:rsidR="004C04E9" w:rsidRPr="00742D01" w:rsidRDefault="004C04E9" w:rsidP="00F9630F">
      <w:pPr>
        <w:autoSpaceDE w:val="0"/>
        <w:autoSpaceDN w:val="0"/>
        <w:adjustRightInd w:val="0"/>
        <w:spacing w:after="0" w:line="240" w:lineRule="auto"/>
        <w:rPr>
          <w:rFonts w:ascii="Arial-ItalicMT" w:hAnsi="Arial-ItalicMT" w:cs="Arial-ItalicMT"/>
          <w:b/>
          <w:iCs/>
          <w:sz w:val="24"/>
          <w:szCs w:val="28"/>
        </w:rPr>
      </w:pPr>
    </w:p>
    <w:p w14:paraId="79A3A055" w14:textId="77777777" w:rsidR="00742D01" w:rsidRDefault="00742D01" w:rsidP="00F9630F">
      <w:pPr>
        <w:autoSpaceDE w:val="0"/>
        <w:autoSpaceDN w:val="0"/>
        <w:adjustRightInd w:val="0"/>
        <w:spacing w:after="0" w:line="240" w:lineRule="auto"/>
        <w:rPr>
          <w:rFonts w:ascii="Arial-ItalicMT" w:hAnsi="Arial-ItalicMT" w:cs="Arial-ItalicMT"/>
          <w:iCs/>
          <w:sz w:val="24"/>
          <w:szCs w:val="28"/>
        </w:rPr>
      </w:pPr>
    </w:p>
    <w:p w14:paraId="664FC6B0" w14:textId="1C687906" w:rsidR="00742D01" w:rsidRPr="00125687" w:rsidRDefault="00742D01"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sidRPr="00125687">
        <w:rPr>
          <w:rFonts w:ascii="Arial-ItalicMT" w:hAnsi="Arial-ItalicMT" w:cs="Arial-ItalicMT"/>
          <w:iCs/>
          <w:sz w:val="24"/>
          <w:szCs w:val="28"/>
        </w:rPr>
        <w:t xml:space="preserve">Many government positions are elected. </w:t>
      </w:r>
    </w:p>
    <w:p w14:paraId="6EF79CE4" w14:textId="5E914133" w:rsidR="00125687" w:rsidRPr="00125687" w:rsidRDefault="00125687"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sidRPr="00125687">
        <w:rPr>
          <w:rFonts w:ascii="Arial-ItalicMT" w:hAnsi="Arial-ItalicMT" w:cs="Arial-ItalicMT"/>
          <w:iCs/>
          <w:sz w:val="24"/>
          <w:szCs w:val="28"/>
        </w:rPr>
        <w:t xml:space="preserve">Elected representatives make laws on behalf of those who elected them. </w:t>
      </w:r>
    </w:p>
    <w:p w14:paraId="1EFCC91D" w14:textId="057F1C7F" w:rsidR="00742D01" w:rsidRPr="00125687" w:rsidRDefault="00742D01"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sidRPr="00125687">
        <w:rPr>
          <w:rFonts w:ascii="Arial-ItalicMT" w:hAnsi="Arial-ItalicMT" w:cs="Arial-ItalicMT"/>
          <w:iCs/>
          <w:sz w:val="24"/>
          <w:szCs w:val="28"/>
        </w:rPr>
        <w:t>There is a constitution (written law).</w:t>
      </w:r>
    </w:p>
    <w:p w14:paraId="7874D4E1" w14:textId="3177271D" w:rsidR="00125687" w:rsidRPr="00125687" w:rsidRDefault="00125687"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sidRPr="00125687">
        <w:rPr>
          <w:rFonts w:ascii="Arial-ItalicMT" w:hAnsi="Arial-ItalicMT" w:cs="Arial-ItalicMT"/>
          <w:iCs/>
          <w:sz w:val="24"/>
          <w:szCs w:val="28"/>
        </w:rPr>
        <w:t xml:space="preserve">The rule of law applies to everyone, including leaders – no one is above the law. </w:t>
      </w:r>
    </w:p>
    <w:p w14:paraId="3A60354E" w14:textId="77777777" w:rsidR="00240DC2" w:rsidRDefault="00240DC2"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Pr>
          <w:rFonts w:ascii="Arial-ItalicMT" w:hAnsi="Arial-ItalicMT" w:cs="Arial-ItalicMT"/>
          <w:iCs/>
          <w:sz w:val="24"/>
          <w:szCs w:val="28"/>
        </w:rPr>
        <w:t>All p</w:t>
      </w:r>
      <w:r w:rsidR="00742D01" w:rsidRPr="00125687">
        <w:rPr>
          <w:rFonts w:ascii="Arial-ItalicMT" w:hAnsi="Arial-ItalicMT" w:cs="Arial-ItalicMT"/>
          <w:iCs/>
          <w:sz w:val="24"/>
          <w:szCs w:val="28"/>
        </w:rPr>
        <w:t>eople have rights and freedoms</w:t>
      </w:r>
      <w:r>
        <w:rPr>
          <w:rFonts w:ascii="Arial-ItalicMT" w:hAnsi="Arial-ItalicMT" w:cs="Arial-ItalicMT"/>
          <w:iCs/>
          <w:sz w:val="24"/>
          <w:szCs w:val="28"/>
        </w:rPr>
        <w:t>:</w:t>
      </w:r>
    </w:p>
    <w:p w14:paraId="649381F7" w14:textId="78B05B90" w:rsidR="00240DC2" w:rsidRDefault="00240DC2" w:rsidP="00240DC2">
      <w:pPr>
        <w:pStyle w:val="ListParagraph"/>
        <w:numPr>
          <w:ilvl w:val="1"/>
          <w:numId w:val="2"/>
        </w:numPr>
        <w:autoSpaceDE w:val="0"/>
        <w:autoSpaceDN w:val="0"/>
        <w:adjustRightInd w:val="0"/>
        <w:spacing w:after="0" w:line="480" w:lineRule="auto"/>
        <w:rPr>
          <w:rFonts w:ascii="Arial-ItalicMT" w:hAnsi="Arial-ItalicMT" w:cs="Arial-ItalicMT"/>
          <w:iCs/>
          <w:sz w:val="24"/>
          <w:szCs w:val="28"/>
        </w:rPr>
      </w:pPr>
      <w:r>
        <w:rPr>
          <w:rFonts w:ascii="Arial-ItalicMT" w:hAnsi="Arial-ItalicMT" w:cs="Arial-ItalicMT"/>
          <w:iCs/>
          <w:sz w:val="24"/>
          <w:szCs w:val="28"/>
        </w:rPr>
        <w:t>including basic human rights</w:t>
      </w:r>
      <w:r w:rsidR="004C04E9">
        <w:rPr>
          <w:rFonts w:ascii="Arial-ItalicMT" w:hAnsi="Arial-ItalicMT" w:cs="Arial-ItalicMT"/>
          <w:iCs/>
          <w:sz w:val="24"/>
          <w:szCs w:val="28"/>
        </w:rPr>
        <w:t>.</w:t>
      </w:r>
    </w:p>
    <w:p w14:paraId="57B4BA15" w14:textId="20B5926F" w:rsidR="00742D01" w:rsidRPr="00125687" w:rsidRDefault="00240DC2" w:rsidP="00240DC2">
      <w:pPr>
        <w:pStyle w:val="ListParagraph"/>
        <w:numPr>
          <w:ilvl w:val="1"/>
          <w:numId w:val="2"/>
        </w:numPr>
        <w:autoSpaceDE w:val="0"/>
        <w:autoSpaceDN w:val="0"/>
        <w:adjustRightInd w:val="0"/>
        <w:spacing w:after="0" w:line="480" w:lineRule="auto"/>
        <w:rPr>
          <w:rFonts w:ascii="Arial-ItalicMT" w:hAnsi="Arial-ItalicMT" w:cs="Arial-ItalicMT"/>
          <w:iCs/>
          <w:sz w:val="24"/>
          <w:szCs w:val="28"/>
        </w:rPr>
      </w:pPr>
      <w:r>
        <w:rPr>
          <w:rFonts w:ascii="Arial-ItalicMT" w:hAnsi="Arial-ItalicMT" w:cs="Arial-ItalicMT"/>
          <w:iCs/>
          <w:sz w:val="24"/>
          <w:szCs w:val="28"/>
        </w:rPr>
        <w:t>including the right to vote with few restrictions other than age and citizenship</w:t>
      </w:r>
      <w:r w:rsidR="004C04E9">
        <w:rPr>
          <w:rFonts w:ascii="Arial-ItalicMT" w:hAnsi="Arial-ItalicMT" w:cs="Arial-ItalicMT"/>
          <w:iCs/>
          <w:sz w:val="24"/>
          <w:szCs w:val="28"/>
        </w:rPr>
        <w:t>.</w:t>
      </w:r>
    </w:p>
    <w:p w14:paraId="32E43450" w14:textId="51542C24" w:rsidR="00742D01" w:rsidRPr="00125687" w:rsidRDefault="00742D01"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sidRPr="00125687">
        <w:rPr>
          <w:rFonts w:ascii="Arial-ItalicMT" w:hAnsi="Arial-ItalicMT" w:cs="Arial-ItalicMT"/>
          <w:iCs/>
          <w:sz w:val="24"/>
          <w:szCs w:val="28"/>
        </w:rPr>
        <w:t>Officials are accountable to the people.</w:t>
      </w:r>
    </w:p>
    <w:p w14:paraId="6D020BC5" w14:textId="252E518C" w:rsidR="00742D01" w:rsidRPr="00125687" w:rsidRDefault="00742D01"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sidRPr="00125687">
        <w:rPr>
          <w:rFonts w:ascii="Arial-ItalicMT" w:hAnsi="Arial-ItalicMT" w:cs="Arial-ItalicMT"/>
          <w:iCs/>
          <w:sz w:val="24"/>
          <w:szCs w:val="28"/>
        </w:rPr>
        <w:t>Ordinary people can have input on bills before they become laws.</w:t>
      </w:r>
    </w:p>
    <w:p w14:paraId="3B01511E" w14:textId="17233820" w:rsidR="00742D01" w:rsidRDefault="00742D01"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sidRPr="00125687">
        <w:rPr>
          <w:rFonts w:ascii="Arial-ItalicMT" w:hAnsi="Arial-ItalicMT" w:cs="Arial-ItalicMT"/>
          <w:iCs/>
          <w:sz w:val="24"/>
          <w:szCs w:val="28"/>
        </w:rPr>
        <w:t>Elections are free and fai</w:t>
      </w:r>
      <w:r w:rsidR="00125687">
        <w:rPr>
          <w:rFonts w:ascii="Arial-ItalicMT" w:hAnsi="Arial-ItalicMT" w:cs="Arial-ItalicMT"/>
          <w:iCs/>
          <w:sz w:val="24"/>
          <w:szCs w:val="28"/>
        </w:rPr>
        <w:t xml:space="preserve">r, open to </w:t>
      </w:r>
      <w:r w:rsidR="00240DC2">
        <w:rPr>
          <w:rFonts w:ascii="Arial-ItalicMT" w:hAnsi="Arial-ItalicMT" w:cs="Arial-ItalicMT"/>
          <w:iCs/>
          <w:sz w:val="24"/>
          <w:szCs w:val="28"/>
        </w:rPr>
        <w:t>various individuals and political parties, and use a secret ballot.</w:t>
      </w:r>
    </w:p>
    <w:p w14:paraId="3D2CEAF5" w14:textId="665C9410" w:rsidR="00C6255A" w:rsidRDefault="00C6255A"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Pr>
          <w:rFonts w:ascii="Arial-ItalicMT" w:hAnsi="Arial-ItalicMT" w:cs="Arial-ItalicMT"/>
          <w:iCs/>
          <w:sz w:val="24"/>
          <w:szCs w:val="28"/>
        </w:rPr>
        <w:t>Both majority and minority rights are considered and protected.</w:t>
      </w:r>
    </w:p>
    <w:p w14:paraId="179446A3" w14:textId="108EC780" w:rsidR="00125687" w:rsidRDefault="00125687"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Pr>
          <w:rFonts w:ascii="Arial-ItalicMT" w:hAnsi="Arial-ItalicMT" w:cs="Arial-ItalicMT"/>
          <w:iCs/>
          <w:sz w:val="24"/>
          <w:szCs w:val="28"/>
        </w:rPr>
        <w:t>Other:</w:t>
      </w:r>
    </w:p>
    <w:p w14:paraId="5088415B" w14:textId="42A4BEFF" w:rsidR="00125687" w:rsidRDefault="00125687"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Pr>
          <w:rFonts w:ascii="Arial-ItalicMT" w:hAnsi="Arial-ItalicMT" w:cs="Arial-ItalicMT"/>
          <w:iCs/>
          <w:sz w:val="24"/>
          <w:szCs w:val="28"/>
        </w:rPr>
        <w:t>Other:</w:t>
      </w:r>
    </w:p>
    <w:p w14:paraId="454026A9" w14:textId="403C7B86" w:rsidR="00125687" w:rsidRPr="00125687" w:rsidRDefault="00125687" w:rsidP="00125687">
      <w:pPr>
        <w:pStyle w:val="ListParagraph"/>
        <w:numPr>
          <w:ilvl w:val="0"/>
          <w:numId w:val="2"/>
        </w:numPr>
        <w:autoSpaceDE w:val="0"/>
        <w:autoSpaceDN w:val="0"/>
        <w:adjustRightInd w:val="0"/>
        <w:spacing w:after="0" w:line="480" w:lineRule="auto"/>
        <w:rPr>
          <w:rFonts w:ascii="Arial-ItalicMT" w:hAnsi="Arial-ItalicMT" w:cs="Arial-ItalicMT"/>
          <w:iCs/>
          <w:sz w:val="24"/>
          <w:szCs w:val="28"/>
        </w:rPr>
      </w:pPr>
      <w:r>
        <w:rPr>
          <w:rFonts w:ascii="Arial-ItalicMT" w:hAnsi="Arial-ItalicMT" w:cs="Arial-ItalicMT"/>
          <w:iCs/>
          <w:sz w:val="24"/>
          <w:szCs w:val="28"/>
        </w:rPr>
        <w:t>Other:</w:t>
      </w:r>
    </w:p>
    <w:p w14:paraId="25D39781" w14:textId="77777777" w:rsidR="00742D01" w:rsidRDefault="00742D01" w:rsidP="00F9630F">
      <w:pPr>
        <w:autoSpaceDE w:val="0"/>
        <w:autoSpaceDN w:val="0"/>
        <w:adjustRightInd w:val="0"/>
        <w:spacing w:after="0" w:line="240" w:lineRule="auto"/>
        <w:rPr>
          <w:rFonts w:ascii="Arial-ItalicMT" w:hAnsi="Arial-ItalicMT" w:cs="Arial-ItalicMT"/>
          <w:iCs/>
          <w:sz w:val="24"/>
          <w:szCs w:val="28"/>
        </w:rPr>
      </w:pPr>
    </w:p>
    <w:p w14:paraId="31EA3EC7" w14:textId="02BD80C2" w:rsidR="007A50B5" w:rsidRPr="007A50B5" w:rsidRDefault="007A50B5" w:rsidP="00F9630F">
      <w:pPr>
        <w:autoSpaceDE w:val="0"/>
        <w:autoSpaceDN w:val="0"/>
        <w:adjustRightInd w:val="0"/>
        <w:spacing w:after="0" w:line="240" w:lineRule="auto"/>
        <w:rPr>
          <w:rFonts w:ascii="Arial-ItalicMT" w:hAnsi="Arial-ItalicMT" w:cs="Arial-ItalicMT"/>
          <w:iCs/>
          <w:sz w:val="24"/>
          <w:szCs w:val="28"/>
        </w:rPr>
      </w:pPr>
      <w:r w:rsidRPr="007A50B5">
        <w:rPr>
          <w:rFonts w:ascii="Arial-ItalicMT" w:hAnsi="Arial-ItalicMT" w:cs="Arial-ItalicMT"/>
          <w:iCs/>
          <w:sz w:val="24"/>
          <w:szCs w:val="28"/>
        </w:rPr>
        <w:t xml:space="preserve"> </w:t>
      </w:r>
    </w:p>
    <w:sectPr w:rsidR="007A50B5" w:rsidRPr="007A50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5213A"/>
    <w:multiLevelType w:val="multilevel"/>
    <w:tmpl w:val="F1BC3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58010D"/>
    <w:multiLevelType w:val="hybridMultilevel"/>
    <w:tmpl w:val="DE785162"/>
    <w:lvl w:ilvl="0" w:tplc="5308E4F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0F"/>
    <w:rsid w:val="00125687"/>
    <w:rsid w:val="00240DC2"/>
    <w:rsid w:val="00274A04"/>
    <w:rsid w:val="002B166A"/>
    <w:rsid w:val="004C04E9"/>
    <w:rsid w:val="004E3127"/>
    <w:rsid w:val="005C29D0"/>
    <w:rsid w:val="005D271A"/>
    <w:rsid w:val="00712AA3"/>
    <w:rsid w:val="00742D01"/>
    <w:rsid w:val="007A50B5"/>
    <w:rsid w:val="008373BE"/>
    <w:rsid w:val="008966C3"/>
    <w:rsid w:val="008D6C15"/>
    <w:rsid w:val="009474AF"/>
    <w:rsid w:val="00C36E45"/>
    <w:rsid w:val="00C6255A"/>
    <w:rsid w:val="00C77AA9"/>
    <w:rsid w:val="00D16475"/>
    <w:rsid w:val="00D37B75"/>
    <w:rsid w:val="00E65E10"/>
    <w:rsid w:val="00EF7BA0"/>
    <w:rsid w:val="00F96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7D91"/>
  <w15:chartTrackingRefBased/>
  <w15:docId w15:val="{C112B8B6-FFE5-4DA0-B18C-4A924154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50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5E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E65E10"/>
    <w:rPr>
      <w:color w:val="0000FF"/>
      <w:u w:val="single"/>
    </w:rPr>
  </w:style>
  <w:style w:type="character" w:styleId="Strong">
    <w:name w:val="Strong"/>
    <w:basedOn w:val="DefaultParagraphFont"/>
    <w:uiPriority w:val="22"/>
    <w:qFormat/>
    <w:rsid w:val="00E65E10"/>
    <w:rPr>
      <w:b/>
      <w:bCs/>
    </w:rPr>
  </w:style>
  <w:style w:type="character" w:customStyle="1" w:styleId="hidden">
    <w:name w:val="hidden"/>
    <w:basedOn w:val="DefaultParagraphFont"/>
    <w:rsid w:val="00E65E10"/>
  </w:style>
  <w:style w:type="character" w:styleId="UnresolvedMention">
    <w:name w:val="Unresolved Mention"/>
    <w:basedOn w:val="DefaultParagraphFont"/>
    <w:uiPriority w:val="99"/>
    <w:semiHidden/>
    <w:unhideWhenUsed/>
    <w:rsid w:val="00E65E10"/>
    <w:rPr>
      <w:color w:val="808080"/>
      <w:shd w:val="clear" w:color="auto" w:fill="E6E6E6"/>
    </w:rPr>
  </w:style>
  <w:style w:type="character" w:customStyle="1" w:styleId="wb-inv">
    <w:name w:val="wb-inv"/>
    <w:basedOn w:val="DefaultParagraphFont"/>
    <w:rsid w:val="009474AF"/>
  </w:style>
  <w:style w:type="character" w:styleId="FollowedHyperlink">
    <w:name w:val="FollowedHyperlink"/>
    <w:basedOn w:val="DefaultParagraphFont"/>
    <w:uiPriority w:val="99"/>
    <w:semiHidden/>
    <w:unhideWhenUsed/>
    <w:rsid w:val="008966C3"/>
    <w:rPr>
      <w:color w:val="954F72" w:themeColor="followedHyperlink"/>
      <w:u w:val="single"/>
    </w:rPr>
  </w:style>
  <w:style w:type="character" w:customStyle="1" w:styleId="Heading1Char">
    <w:name w:val="Heading 1 Char"/>
    <w:basedOn w:val="DefaultParagraphFont"/>
    <w:link w:val="Heading1"/>
    <w:uiPriority w:val="9"/>
    <w:rsid w:val="007A50B5"/>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12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4329">
      <w:bodyDiv w:val="1"/>
      <w:marLeft w:val="0"/>
      <w:marRight w:val="0"/>
      <w:marTop w:val="0"/>
      <w:marBottom w:val="0"/>
      <w:divBdr>
        <w:top w:val="none" w:sz="0" w:space="0" w:color="auto"/>
        <w:left w:val="none" w:sz="0" w:space="0" w:color="auto"/>
        <w:bottom w:val="none" w:sz="0" w:space="0" w:color="auto"/>
        <w:right w:val="none" w:sz="0" w:space="0" w:color="auto"/>
      </w:divBdr>
    </w:div>
    <w:div w:id="207691906">
      <w:bodyDiv w:val="1"/>
      <w:marLeft w:val="0"/>
      <w:marRight w:val="0"/>
      <w:marTop w:val="0"/>
      <w:marBottom w:val="0"/>
      <w:divBdr>
        <w:top w:val="none" w:sz="0" w:space="0" w:color="auto"/>
        <w:left w:val="none" w:sz="0" w:space="0" w:color="auto"/>
        <w:bottom w:val="none" w:sz="0" w:space="0" w:color="auto"/>
        <w:right w:val="none" w:sz="0" w:space="0" w:color="auto"/>
      </w:divBdr>
    </w:div>
    <w:div w:id="773749603">
      <w:bodyDiv w:val="1"/>
      <w:marLeft w:val="0"/>
      <w:marRight w:val="0"/>
      <w:marTop w:val="0"/>
      <w:marBottom w:val="0"/>
      <w:divBdr>
        <w:top w:val="none" w:sz="0" w:space="0" w:color="auto"/>
        <w:left w:val="none" w:sz="0" w:space="0" w:color="auto"/>
        <w:bottom w:val="none" w:sz="0" w:space="0" w:color="auto"/>
        <w:right w:val="none" w:sz="0" w:space="0" w:color="auto"/>
      </w:divBdr>
    </w:div>
    <w:div w:id="1191721706">
      <w:bodyDiv w:val="1"/>
      <w:marLeft w:val="0"/>
      <w:marRight w:val="0"/>
      <w:marTop w:val="0"/>
      <w:marBottom w:val="0"/>
      <w:divBdr>
        <w:top w:val="none" w:sz="0" w:space="0" w:color="auto"/>
        <w:left w:val="none" w:sz="0" w:space="0" w:color="auto"/>
        <w:bottom w:val="none" w:sz="0" w:space="0" w:color="auto"/>
        <w:right w:val="none" w:sz="0" w:space="0" w:color="auto"/>
      </w:divBdr>
    </w:div>
    <w:div w:id="1519810332">
      <w:bodyDiv w:val="1"/>
      <w:marLeft w:val="0"/>
      <w:marRight w:val="0"/>
      <w:marTop w:val="0"/>
      <w:marBottom w:val="0"/>
      <w:divBdr>
        <w:top w:val="none" w:sz="0" w:space="0" w:color="auto"/>
        <w:left w:val="none" w:sz="0" w:space="0" w:color="auto"/>
        <w:bottom w:val="none" w:sz="0" w:space="0" w:color="auto"/>
        <w:right w:val="none" w:sz="0" w:space="0" w:color="auto"/>
      </w:divBdr>
    </w:div>
    <w:div w:id="205052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ca/content.aspx?section=res&amp;dir=rec/part/estim/42ge&amp;document=p1&amp;lang=e" TargetMode="External"/><Relationship Id="rId3" Type="http://schemas.openxmlformats.org/officeDocument/2006/relationships/settings" Target="settings.xml"/><Relationship Id="rId7" Type="http://schemas.openxmlformats.org/officeDocument/2006/relationships/hyperlink" Target="https://lop.parl.ca/Content/LOP/ResearchPublications/2016-104-e.html?cat=gover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tcan.gc.ca/pub/75-001-x/2012001/article/11629-eng.htm" TargetMode="External"/><Relationship Id="rId11" Type="http://schemas.openxmlformats.org/officeDocument/2006/relationships/theme" Target="theme/theme1.xml"/><Relationship Id="rId5" Type="http://schemas.openxmlformats.org/officeDocument/2006/relationships/hyperlink" Target="http://www.elections.ca/content.aspx?section=res&amp;dir=rec/eval/pes2015/vtsa&amp;document=table1&amp;lang=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tcan.gc.ca/pub/12-581-x/2017000/pop-e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8</cp:revision>
  <dcterms:created xsi:type="dcterms:W3CDTF">2018-03-18T18:08:00Z</dcterms:created>
  <dcterms:modified xsi:type="dcterms:W3CDTF">2018-03-18T22:07:00Z</dcterms:modified>
</cp:coreProperties>
</file>