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5F" w:rsidRPr="00D20574" w:rsidRDefault="00D20574" w:rsidP="00D20574">
      <w:pPr>
        <w:jc w:val="center"/>
        <w:rPr>
          <w:b/>
        </w:rPr>
      </w:pPr>
      <w:bookmarkStart w:id="0" w:name="_GoBack"/>
      <w:bookmarkEnd w:id="0"/>
      <w:r w:rsidRPr="00D20574">
        <w:rPr>
          <w:b/>
        </w:rPr>
        <w:t xml:space="preserve">CHY4U </w:t>
      </w:r>
      <w:r w:rsidR="009D19D5">
        <w:rPr>
          <w:b/>
        </w:rPr>
        <w:t xml:space="preserve">Unit 4, Activity 4 - </w:t>
      </w:r>
      <w:r w:rsidR="007A0B4C" w:rsidRPr="00D20574">
        <w:rPr>
          <w:b/>
        </w:rPr>
        <w:t xml:space="preserve">Timeline of </w:t>
      </w:r>
      <w:r w:rsidR="001B470B">
        <w:rPr>
          <w:b/>
        </w:rPr>
        <w:t>Chinese Women’s Rights</w:t>
      </w:r>
    </w:p>
    <w:p w:rsidR="007A0B4C" w:rsidRDefault="007A0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8F4631" w:rsidRPr="007B376A" w:rsidTr="007B376A">
        <w:tc>
          <w:tcPr>
            <w:tcW w:w="1548" w:type="dxa"/>
            <w:shd w:val="clear" w:color="auto" w:fill="auto"/>
          </w:tcPr>
          <w:p w:rsidR="008F4631" w:rsidRPr="007B376A" w:rsidRDefault="008F4631">
            <w:pPr>
              <w:rPr>
                <w:b/>
              </w:rPr>
            </w:pPr>
            <w:r w:rsidRPr="007B376A">
              <w:rPr>
                <w:b/>
              </w:rPr>
              <w:t>Date</w:t>
            </w:r>
          </w:p>
        </w:tc>
        <w:tc>
          <w:tcPr>
            <w:tcW w:w="7308" w:type="dxa"/>
            <w:shd w:val="clear" w:color="auto" w:fill="auto"/>
          </w:tcPr>
          <w:p w:rsidR="008F4631" w:rsidRPr="007B376A" w:rsidRDefault="008F4631">
            <w:pPr>
              <w:rPr>
                <w:b/>
              </w:rPr>
            </w:pPr>
            <w:r w:rsidRPr="007B376A">
              <w:rPr>
                <w:b/>
              </w:rPr>
              <w:t>Event</w:t>
            </w:r>
          </w:p>
        </w:tc>
      </w:tr>
      <w:tr w:rsidR="00F13646" w:rsidTr="007B376A">
        <w:tc>
          <w:tcPr>
            <w:tcW w:w="1548" w:type="dxa"/>
            <w:shd w:val="clear" w:color="auto" w:fill="auto"/>
          </w:tcPr>
          <w:p w:rsidR="00F13646" w:rsidRDefault="001B470B">
            <w:r>
              <w:t>Ancient China</w:t>
            </w:r>
          </w:p>
        </w:tc>
        <w:tc>
          <w:tcPr>
            <w:tcW w:w="7308" w:type="dxa"/>
            <w:shd w:val="clear" w:color="auto" w:fill="auto"/>
          </w:tcPr>
          <w:p w:rsidR="00F13646" w:rsidRDefault="001B470B">
            <w:r>
              <w:t xml:space="preserve">Confucianism’s emphasis on filial piety puts women in a subordinate position in the </w:t>
            </w:r>
            <w:r w:rsidR="00946533">
              <w:t>male-</w:t>
            </w:r>
            <w:proofErr w:type="spellStart"/>
            <w:r w:rsidR="00946533">
              <w:t>centred</w:t>
            </w:r>
            <w:proofErr w:type="spellEnd"/>
            <w:r w:rsidR="00946533">
              <w:t xml:space="preserve"> </w:t>
            </w:r>
            <w:r>
              <w:t>family</w:t>
            </w:r>
            <w:r w:rsidR="00D54017">
              <w:t xml:space="preserve"> establishing a strongly patriarchal view of women</w:t>
            </w:r>
            <w:r w:rsidR="0086214D">
              <w:t>. Women are given little freedom in marriage and can be forced to be concubines. They have few educational opportunities.</w:t>
            </w:r>
          </w:p>
        </w:tc>
      </w:tr>
      <w:tr w:rsidR="006E7C06" w:rsidTr="007B376A">
        <w:tc>
          <w:tcPr>
            <w:tcW w:w="1548" w:type="dxa"/>
            <w:shd w:val="clear" w:color="auto" w:fill="auto"/>
          </w:tcPr>
          <w:p w:rsidR="006E7C06" w:rsidRDefault="00946533" w:rsidP="006E7C06">
            <w:r>
              <w:t>900s</w:t>
            </w:r>
          </w:p>
        </w:tc>
        <w:tc>
          <w:tcPr>
            <w:tcW w:w="7308" w:type="dxa"/>
            <w:shd w:val="clear" w:color="auto" w:fill="auto"/>
          </w:tcPr>
          <w:p w:rsidR="006E7C06" w:rsidRDefault="00D54017" w:rsidP="00946533">
            <w:r>
              <w:t xml:space="preserve">Foot-binding becomes a common practice: young girls’ toes are bent </w:t>
            </w:r>
            <w:r w:rsidR="00946533">
              <w:t>under</w:t>
            </w:r>
            <w:r>
              <w:t xml:space="preserve"> to make their feet tiny, thus leaving them </w:t>
            </w:r>
            <w:r w:rsidR="00946533">
              <w:t>immobile. Mostly among the elites.</w:t>
            </w:r>
          </w:p>
        </w:tc>
      </w:tr>
      <w:tr w:rsidR="00946533" w:rsidTr="007B376A">
        <w:tc>
          <w:tcPr>
            <w:tcW w:w="1548" w:type="dxa"/>
            <w:shd w:val="clear" w:color="auto" w:fill="auto"/>
          </w:tcPr>
          <w:p w:rsidR="00946533" w:rsidRDefault="00A5212F">
            <w:r>
              <w:t>1861-1908</w:t>
            </w:r>
          </w:p>
        </w:tc>
        <w:tc>
          <w:tcPr>
            <w:tcW w:w="7308" w:type="dxa"/>
            <w:shd w:val="clear" w:color="auto" w:fill="auto"/>
          </w:tcPr>
          <w:p w:rsidR="00946533" w:rsidRDefault="00946533">
            <w:r>
              <w:t xml:space="preserve">Dowager Empress </w:t>
            </w:r>
            <w:proofErr w:type="spellStart"/>
            <w:r>
              <w:t>Cixi</w:t>
            </w:r>
            <w:proofErr w:type="spellEnd"/>
            <w:r>
              <w:t xml:space="preserve"> rules China from “behind the screen.” </w:t>
            </w:r>
          </w:p>
        </w:tc>
      </w:tr>
      <w:tr w:rsidR="001C5E19" w:rsidTr="007B376A">
        <w:tc>
          <w:tcPr>
            <w:tcW w:w="1548" w:type="dxa"/>
            <w:shd w:val="clear" w:color="auto" w:fill="auto"/>
          </w:tcPr>
          <w:p w:rsidR="001C5E19" w:rsidRDefault="00D54017">
            <w:r>
              <w:t>1902</w:t>
            </w:r>
          </w:p>
        </w:tc>
        <w:tc>
          <w:tcPr>
            <w:tcW w:w="7308" w:type="dxa"/>
            <w:shd w:val="clear" w:color="auto" w:fill="auto"/>
          </w:tcPr>
          <w:p w:rsidR="001C5E19" w:rsidRPr="009E79ED" w:rsidRDefault="00D54017">
            <w:r>
              <w:t>Late Qing dynasty reform makes foot-binding illegal (though the practice continues in reality)</w:t>
            </w:r>
            <w:r w:rsidR="003A145E">
              <w:t>.</w:t>
            </w:r>
          </w:p>
        </w:tc>
      </w:tr>
      <w:tr w:rsidR="00F13646" w:rsidTr="007B376A">
        <w:tc>
          <w:tcPr>
            <w:tcW w:w="1548" w:type="dxa"/>
            <w:shd w:val="clear" w:color="auto" w:fill="auto"/>
          </w:tcPr>
          <w:p w:rsidR="00F13646" w:rsidRDefault="0086214D">
            <w:r>
              <w:t>1910s and 1920s</w:t>
            </w:r>
          </w:p>
        </w:tc>
        <w:tc>
          <w:tcPr>
            <w:tcW w:w="7308" w:type="dxa"/>
            <w:shd w:val="clear" w:color="auto" w:fill="auto"/>
          </w:tcPr>
          <w:p w:rsidR="00F13646" w:rsidRDefault="0086214D" w:rsidP="0086214D">
            <w:r>
              <w:t>May Fourth Feminist Movement coincides with the reformist May Fourth Movement that seeks to strengthen a weak and corrupt republican China. Mostly male intellectuals in the movement seek to strengthen the family by improving the position of women. Movement is limited to urban elites.</w:t>
            </w:r>
          </w:p>
        </w:tc>
      </w:tr>
      <w:tr w:rsidR="00D26B50" w:rsidTr="007B376A">
        <w:tc>
          <w:tcPr>
            <w:tcW w:w="1548" w:type="dxa"/>
            <w:shd w:val="clear" w:color="auto" w:fill="auto"/>
          </w:tcPr>
          <w:p w:rsidR="00D26B50" w:rsidRDefault="0086214D">
            <w:r>
              <w:t>1949</w:t>
            </w:r>
          </w:p>
        </w:tc>
        <w:tc>
          <w:tcPr>
            <w:tcW w:w="7308" w:type="dxa"/>
            <w:shd w:val="clear" w:color="auto" w:fill="auto"/>
          </w:tcPr>
          <w:p w:rsidR="00D26B50" w:rsidRDefault="0086214D" w:rsidP="0086214D">
            <w:r>
              <w:t xml:space="preserve">Upon taking power, Mao Zedong and the Communists proclaim that women “hold up half the sky.” Article 6 of the country’s new laws says: “The People’s Republic of China shall abolish the feudal system which holds women in bondage. Women shall enjoy equal rights with men in political, economic, cultural, educational and social life. Freedom of marriage for men and women shall be put into effect.” </w:t>
            </w:r>
          </w:p>
        </w:tc>
      </w:tr>
      <w:tr w:rsidR="000715C9" w:rsidTr="007B376A">
        <w:tc>
          <w:tcPr>
            <w:tcW w:w="1548" w:type="dxa"/>
            <w:shd w:val="clear" w:color="auto" w:fill="auto"/>
          </w:tcPr>
          <w:p w:rsidR="000715C9" w:rsidRDefault="0086214D">
            <w:r>
              <w:t>1950</w:t>
            </w:r>
          </w:p>
        </w:tc>
        <w:tc>
          <w:tcPr>
            <w:tcW w:w="7308" w:type="dxa"/>
            <w:shd w:val="clear" w:color="auto" w:fill="auto"/>
          </w:tcPr>
          <w:p w:rsidR="000715C9" w:rsidRDefault="0086214D" w:rsidP="00A5212F">
            <w:r>
              <w:t xml:space="preserve">Marriage </w:t>
            </w:r>
            <w:r w:rsidR="00A5212F">
              <w:t>L</w:t>
            </w:r>
            <w:r>
              <w:t>aw states that women are to be free to choose their own marriage</w:t>
            </w:r>
            <w:r w:rsidR="001C667E">
              <w:t xml:space="preserve"> partner rather than have it arranged for them or forced on them.</w:t>
            </w:r>
          </w:p>
        </w:tc>
      </w:tr>
      <w:tr w:rsidR="000715C9" w:rsidTr="007B376A">
        <w:tc>
          <w:tcPr>
            <w:tcW w:w="1548" w:type="dxa"/>
            <w:shd w:val="clear" w:color="auto" w:fill="auto"/>
          </w:tcPr>
          <w:p w:rsidR="000715C9" w:rsidRDefault="001C667E">
            <w:r>
              <w:t>1950s</w:t>
            </w:r>
          </w:p>
        </w:tc>
        <w:tc>
          <w:tcPr>
            <w:tcW w:w="7308" w:type="dxa"/>
            <w:shd w:val="clear" w:color="auto" w:fill="auto"/>
          </w:tcPr>
          <w:p w:rsidR="000715C9" w:rsidRDefault="001C667E">
            <w:r>
              <w:t>The divorce rate rises as women escape from “feudal” marriages.</w:t>
            </w:r>
            <w:r w:rsidR="008343ED">
              <w:t xml:space="preserve"> However, there is much opposition to this and some murders and suicides take place in reaction. </w:t>
            </w:r>
          </w:p>
        </w:tc>
      </w:tr>
      <w:tr w:rsidR="00816C93" w:rsidTr="007B376A">
        <w:tc>
          <w:tcPr>
            <w:tcW w:w="1548" w:type="dxa"/>
            <w:shd w:val="clear" w:color="auto" w:fill="auto"/>
          </w:tcPr>
          <w:p w:rsidR="00816C93" w:rsidRDefault="008343ED" w:rsidP="00816C93">
            <w:r>
              <w:t>Late 1950s</w:t>
            </w:r>
          </w:p>
        </w:tc>
        <w:tc>
          <w:tcPr>
            <w:tcW w:w="7308" w:type="dxa"/>
            <w:shd w:val="clear" w:color="auto" w:fill="auto"/>
          </w:tcPr>
          <w:p w:rsidR="00816C93" w:rsidRPr="009E79ED" w:rsidRDefault="008343ED" w:rsidP="00816C93">
            <w:r>
              <w:t xml:space="preserve">Great Leap Forward (a push to revitalize the economy) encourages women to work. Many take on jobs on collective farms in kindergartens, nurseries, </w:t>
            </w:r>
            <w:r w:rsidR="00946533">
              <w:t xml:space="preserve">and </w:t>
            </w:r>
            <w:r>
              <w:t xml:space="preserve">dining halls. </w:t>
            </w:r>
            <w:r w:rsidR="007B376A">
              <w:t xml:space="preserve">Women’s participation rates in the economy are at very high levels. </w:t>
            </w:r>
          </w:p>
        </w:tc>
      </w:tr>
      <w:tr w:rsidR="000715C9" w:rsidTr="007B376A">
        <w:tc>
          <w:tcPr>
            <w:tcW w:w="1548" w:type="dxa"/>
            <w:shd w:val="clear" w:color="auto" w:fill="auto"/>
          </w:tcPr>
          <w:p w:rsidR="000715C9" w:rsidRDefault="008343ED">
            <w:r>
              <w:t>1966-1976</w:t>
            </w:r>
          </w:p>
        </w:tc>
        <w:tc>
          <w:tcPr>
            <w:tcW w:w="7308" w:type="dxa"/>
            <w:shd w:val="clear" w:color="auto" w:fill="auto"/>
          </w:tcPr>
          <w:p w:rsidR="000715C9" w:rsidRDefault="008343ED" w:rsidP="003A145E">
            <w:r>
              <w:t>During the Cultural Revolution</w:t>
            </w:r>
            <w:r w:rsidR="00EB1A76">
              <w:t xml:space="preserve"> </w:t>
            </w:r>
            <w:r w:rsidR="003A145E">
              <w:t xml:space="preserve">(Mao’s effort to re-radicalize Chinese society) </w:t>
            </w:r>
            <w:r w:rsidR="00EB1A76">
              <w:t xml:space="preserve">women’s employment remains at a high level and many women participate in higher education. However, women’s issues are not a focus during this time. </w:t>
            </w:r>
          </w:p>
        </w:tc>
      </w:tr>
      <w:tr w:rsidR="007C3EDF" w:rsidTr="007B376A">
        <w:tc>
          <w:tcPr>
            <w:tcW w:w="1548" w:type="dxa"/>
            <w:shd w:val="clear" w:color="auto" w:fill="auto"/>
          </w:tcPr>
          <w:p w:rsidR="007C3EDF" w:rsidRDefault="00946533">
            <w:r>
              <w:t>1978</w:t>
            </w:r>
          </w:p>
        </w:tc>
        <w:tc>
          <w:tcPr>
            <w:tcW w:w="7308" w:type="dxa"/>
            <w:shd w:val="clear" w:color="auto" w:fill="auto"/>
          </w:tcPr>
          <w:p w:rsidR="007C3EDF" w:rsidRDefault="007B376A" w:rsidP="00946533">
            <w:r>
              <w:t xml:space="preserve">One child policy is </w:t>
            </w:r>
            <w:r w:rsidR="00946533">
              <w:t>introduced</w:t>
            </w:r>
            <w:r w:rsidR="002D3449">
              <w:t xml:space="preserve"> due to high fertility rates (average being around 6 children per woman)</w:t>
            </w:r>
            <w:r>
              <w:t xml:space="preserve">. </w:t>
            </w:r>
            <w:r w:rsidR="00AA4A5A">
              <w:t xml:space="preserve">Women are often forced to abort second children or </w:t>
            </w:r>
            <w:r w:rsidR="00A5212F">
              <w:t>undergo</w:t>
            </w:r>
            <w:r w:rsidR="00AA4A5A">
              <w:t xml:space="preserve"> sterilization. </w:t>
            </w:r>
          </w:p>
        </w:tc>
      </w:tr>
      <w:tr w:rsidR="00445B01" w:rsidTr="007B376A">
        <w:tc>
          <w:tcPr>
            <w:tcW w:w="1548" w:type="dxa"/>
            <w:shd w:val="clear" w:color="auto" w:fill="auto"/>
          </w:tcPr>
          <w:p w:rsidR="00445B01" w:rsidRDefault="00445B01">
            <w:r>
              <w:t>1990s</w:t>
            </w:r>
          </w:p>
        </w:tc>
        <w:tc>
          <w:tcPr>
            <w:tcW w:w="7308" w:type="dxa"/>
            <w:shd w:val="clear" w:color="auto" w:fill="auto"/>
          </w:tcPr>
          <w:p w:rsidR="00445B01" w:rsidRDefault="00445B01">
            <w:r>
              <w:t>As part of its economic reforms, China closes many state-owned industries, firing millions of people; women are affected disproportionately. “Women return to the home” campaign emerges at the same time</w:t>
            </w:r>
            <w:r w:rsidR="002D3449">
              <w:t>, and employment rates for women decrease</w:t>
            </w:r>
            <w:r>
              <w:t>.</w:t>
            </w:r>
          </w:p>
        </w:tc>
      </w:tr>
      <w:tr w:rsidR="00445B01" w:rsidTr="007B376A">
        <w:tc>
          <w:tcPr>
            <w:tcW w:w="1548" w:type="dxa"/>
            <w:shd w:val="clear" w:color="auto" w:fill="auto"/>
          </w:tcPr>
          <w:p w:rsidR="00445B01" w:rsidRDefault="00445B01">
            <w:r>
              <w:t>1990</w:t>
            </w:r>
          </w:p>
        </w:tc>
        <w:tc>
          <w:tcPr>
            <w:tcW w:w="7308" w:type="dxa"/>
            <w:shd w:val="clear" w:color="auto" w:fill="auto"/>
          </w:tcPr>
          <w:p w:rsidR="00445B01" w:rsidRDefault="00445B01">
            <w:r>
              <w:t>74% of urban women of working age are working in the paid economy</w:t>
            </w:r>
            <w:r w:rsidR="00A5212F">
              <w:t>.</w:t>
            </w:r>
          </w:p>
        </w:tc>
      </w:tr>
      <w:tr w:rsidR="003A145E" w:rsidTr="00C839E7">
        <w:tc>
          <w:tcPr>
            <w:tcW w:w="1548" w:type="dxa"/>
            <w:shd w:val="clear" w:color="auto" w:fill="auto"/>
          </w:tcPr>
          <w:p w:rsidR="003A145E" w:rsidRDefault="003A145E" w:rsidP="00C839E7">
            <w:r>
              <w:t>1990-2010</w:t>
            </w:r>
          </w:p>
        </w:tc>
        <w:tc>
          <w:tcPr>
            <w:tcW w:w="7308" w:type="dxa"/>
            <w:shd w:val="clear" w:color="auto" w:fill="auto"/>
          </w:tcPr>
          <w:p w:rsidR="003A145E" w:rsidRDefault="003A145E" w:rsidP="002D3449">
            <w:r>
              <w:t xml:space="preserve">Education rates for women increase. In 1990, </w:t>
            </w:r>
            <w:r w:rsidR="002D3449">
              <w:t xml:space="preserve">36% of urban women have </w:t>
            </w:r>
            <w:r w:rsidR="002D3449">
              <w:lastRenderedPageBreak/>
              <w:t xml:space="preserve">at least a secondary education, while by 2010 that has increased to 54.2%. For rural women the rates go from 6.7% to 18.2% over the same period. </w:t>
            </w:r>
          </w:p>
        </w:tc>
      </w:tr>
      <w:tr w:rsidR="00445B01" w:rsidTr="007B376A">
        <w:tc>
          <w:tcPr>
            <w:tcW w:w="1548" w:type="dxa"/>
            <w:shd w:val="clear" w:color="auto" w:fill="auto"/>
          </w:tcPr>
          <w:p w:rsidR="00445B01" w:rsidRDefault="00445B01">
            <w:r>
              <w:lastRenderedPageBreak/>
              <w:t>2007</w:t>
            </w:r>
          </w:p>
        </w:tc>
        <w:tc>
          <w:tcPr>
            <w:tcW w:w="7308" w:type="dxa"/>
            <w:shd w:val="clear" w:color="auto" w:fill="auto"/>
          </w:tcPr>
          <w:p w:rsidR="00445B01" w:rsidRDefault="00A5212F">
            <w:r>
              <w:t>Government campaign</w:t>
            </w:r>
            <w:r w:rsidR="00445B01">
              <w:t xml:space="preserve"> stigmatizes “leftover women”, those women over age 27 who are not married.</w:t>
            </w:r>
          </w:p>
        </w:tc>
      </w:tr>
      <w:tr w:rsidR="00445B01" w:rsidTr="007B376A">
        <w:tc>
          <w:tcPr>
            <w:tcW w:w="1548" w:type="dxa"/>
            <w:shd w:val="clear" w:color="auto" w:fill="auto"/>
          </w:tcPr>
          <w:p w:rsidR="00445B01" w:rsidRDefault="00445B01">
            <w:r>
              <w:t>2010</w:t>
            </w:r>
          </w:p>
        </w:tc>
        <w:tc>
          <w:tcPr>
            <w:tcW w:w="7308" w:type="dxa"/>
            <w:shd w:val="clear" w:color="auto" w:fill="auto"/>
          </w:tcPr>
          <w:p w:rsidR="00445B01" w:rsidRDefault="00445B01">
            <w:r>
              <w:t>60.8% of urban women of working age are working in the paid economy</w:t>
            </w:r>
            <w:r w:rsidR="00AA4A5A">
              <w:t>.</w:t>
            </w:r>
          </w:p>
        </w:tc>
      </w:tr>
      <w:tr w:rsidR="00A5212F" w:rsidTr="007B376A">
        <w:tc>
          <w:tcPr>
            <w:tcW w:w="1548" w:type="dxa"/>
            <w:shd w:val="clear" w:color="auto" w:fill="auto"/>
          </w:tcPr>
          <w:p w:rsidR="00A5212F" w:rsidRDefault="00A5212F">
            <w:r>
              <w:t>2011</w:t>
            </w:r>
          </w:p>
        </w:tc>
        <w:tc>
          <w:tcPr>
            <w:tcW w:w="7308" w:type="dxa"/>
            <w:shd w:val="clear" w:color="auto" w:fill="auto"/>
          </w:tcPr>
          <w:p w:rsidR="00A5212F" w:rsidRDefault="00A5212F">
            <w:r>
              <w:t>Marriage Law is amended to reduce married women’s property rights.</w:t>
            </w:r>
          </w:p>
        </w:tc>
      </w:tr>
      <w:tr w:rsidR="006A6DF0" w:rsidTr="007B376A">
        <w:tc>
          <w:tcPr>
            <w:tcW w:w="1548" w:type="dxa"/>
            <w:shd w:val="clear" w:color="auto" w:fill="auto"/>
          </w:tcPr>
          <w:p w:rsidR="006A6DF0" w:rsidRDefault="007B376A">
            <w:r>
              <w:t>2015</w:t>
            </w:r>
          </w:p>
        </w:tc>
        <w:tc>
          <w:tcPr>
            <w:tcW w:w="7308" w:type="dxa"/>
            <w:shd w:val="clear" w:color="auto" w:fill="auto"/>
          </w:tcPr>
          <w:p w:rsidR="006A6DF0" w:rsidRDefault="007B376A" w:rsidP="002D3449">
            <w:r>
              <w:t xml:space="preserve">One child policy is ended. </w:t>
            </w:r>
            <w:r w:rsidR="003A145E">
              <w:t>After so many years, the policy has</w:t>
            </w:r>
            <w:r w:rsidR="002D3449">
              <w:t xml:space="preserve"> been successful in reducing the fertility rate to around an average of 1.4-1.5 children per women. However, it has</w:t>
            </w:r>
            <w:r w:rsidR="003A145E">
              <w:t xml:space="preserve"> led to a very unequal sex ratio in the population (more boys than girls </w:t>
            </w:r>
            <w:r w:rsidR="002D3449">
              <w:t>are</w:t>
            </w:r>
            <w:r w:rsidR="003A145E">
              <w:t xml:space="preserve"> born over a long period of time). </w:t>
            </w:r>
          </w:p>
        </w:tc>
      </w:tr>
      <w:tr w:rsidR="0098339D" w:rsidTr="007B376A">
        <w:tc>
          <w:tcPr>
            <w:tcW w:w="1548" w:type="dxa"/>
            <w:shd w:val="clear" w:color="auto" w:fill="auto"/>
          </w:tcPr>
          <w:p w:rsidR="0098339D" w:rsidRDefault="002D3449">
            <w:r>
              <w:t>2000s</w:t>
            </w:r>
          </w:p>
        </w:tc>
        <w:tc>
          <w:tcPr>
            <w:tcW w:w="7308" w:type="dxa"/>
            <w:shd w:val="clear" w:color="auto" w:fill="auto"/>
          </w:tcPr>
          <w:p w:rsidR="0098339D" w:rsidRDefault="002D3449" w:rsidP="002D3449">
            <w:r>
              <w:t xml:space="preserve">Though women still work in high numbers, there is considerable job discrimination </w:t>
            </w:r>
            <w:proofErr w:type="spellStart"/>
            <w:r>
              <w:t>favouring</w:t>
            </w:r>
            <w:proofErr w:type="spellEnd"/>
            <w:r>
              <w:t xml:space="preserve"> men in hiring, promotions, firings, maternity leave, glass-ceiling, etc. In 2010, 48% of women surveyed agree that “a good marriage is better than a career.” 40.7% of men surveyed agree with the same statement. </w:t>
            </w:r>
          </w:p>
        </w:tc>
      </w:tr>
      <w:tr w:rsidR="002D3449" w:rsidTr="007B376A">
        <w:tc>
          <w:tcPr>
            <w:tcW w:w="1548" w:type="dxa"/>
            <w:shd w:val="clear" w:color="auto" w:fill="auto"/>
          </w:tcPr>
          <w:p w:rsidR="002D3449" w:rsidRDefault="00320C90">
            <w:r>
              <w:t>Current</w:t>
            </w:r>
          </w:p>
        </w:tc>
        <w:tc>
          <w:tcPr>
            <w:tcW w:w="7308" w:type="dxa"/>
            <w:shd w:val="clear" w:color="auto" w:fill="auto"/>
          </w:tcPr>
          <w:p w:rsidR="002D3449" w:rsidRDefault="002D3449" w:rsidP="002D3449">
            <w:r>
              <w:t xml:space="preserve">Women dominate in low paid agricultural work in the countryside. By contrast, few women reach high levels within government and the Communist Party. </w:t>
            </w:r>
          </w:p>
        </w:tc>
      </w:tr>
    </w:tbl>
    <w:p w:rsidR="006939FD" w:rsidRDefault="006939FD">
      <w:pPr>
        <w:rPr>
          <w:sz w:val="20"/>
          <w:szCs w:val="20"/>
        </w:rPr>
      </w:pPr>
      <w:r w:rsidRPr="006939FD">
        <w:rPr>
          <w:sz w:val="20"/>
          <w:szCs w:val="20"/>
        </w:rPr>
        <w:t xml:space="preserve"> </w:t>
      </w:r>
    </w:p>
    <w:p w:rsidR="00EB1A76" w:rsidRDefault="00EB1A76">
      <w:pPr>
        <w:rPr>
          <w:sz w:val="20"/>
          <w:szCs w:val="20"/>
        </w:rPr>
      </w:pPr>
      <w:r>
        <w:rPr>
          <w:sz w:val="20"/>
          <w:szCs w:val="20"/>
        </w:rPr>
        <w:t xml:space="preserve">Sources: </w:t>
      </w:r>
    </w:p>
    <w:p w:rsidR="00201114" w:rsidRDefault="00201114">
      <w:pPr>
        <w:rPr>
          <w:rFonts w:ascii="Arial" w:hAnsi="Arial" w:cs="Arial"/>
          <w:color w:val="494D4C"/>
          <w:sz w:val="18"/>
          <w:szCs w:val="18"/>
          <w:shd w:val="clear" w:color="auto" w:fill="FFFFFF"/>
        </w:rPr>
      </w:pPr>
      <w:proofErr w:type="spellStart"/>
      <w:r>
        <w:rPr>
          <w:rFonts w:ascii="Arial" w:hAnsi="Arial" w:cs="Arial"/>
          <w:color w:val="494D4C"/>
          <w:sz w:val="18"/>
          <w:szCs w:val="18"/>
          <w:shd w:val="clear" w:color="auto" w:fill="FFFFFF"/>
        </w:rPr>
        <w:t>Attane</w:t>
      </w:r>
      <w:proofErr w:type="spellEnd"/>
      <w:r>
        <w:rPr>
          <w:rFonts w:ascii="Arial" w:hAnsi="Arial" w:cs="Arial"/>
          <w:color w:val="494D4C"/>
          <w:sz w:val="18"/>
          <w:szCs w:val="18"/>
          <w:shd w:val="clear" w:color="auto" w:fill="FFFFFF"/>
        </w:rPr>
        <w:t xml:space="preserve">, Isabelle. Being a Woman in China Today: </w:t>
      </w:r>
      <w:proofErr w:type="gramStart"/>
      <w:r>
        <w:rPr>
          <w:rFonts w:ascii="Arial" w:hAnsi="Arial" w:cs="Arial"/>
          <w:color w:val="494D4C"/>
          <w:sz w:val="18"/>
          <w:szCs w:val="18"/>
          <w:shd w:val="clear" w:color="auto" w:fill="FFFFFF"/>
        </w:rPr>
        <w:t>A Demography</w:t>
      </w:r>
      <w:proofErr w:type="gramEnd"/>
      <w:r>
        <w:rPr>
          <w:rFonts w:ascii="Arial" w:hAnsi="Arial" w:cs="Arial"/>
          <w:color w:val="494D4C"/>
          <w:sz w:val="18"/>
          <w:szCs w:val="18"/>
          <w:shd w:val="clear" w:color="auto" w:fill="FFFFFF"/>
        </w:rPr>
        <w:t xml:space="preserve"> of Gender. </w:t>
      </w:r>
      <w:proofErr w:type="gramStart"/>
      <w:r>
        <w:rPr>
          <w:rFonts w:ascii="Arial" w:hAnsi="Arial" w:cs="Arial"/>
          <w:color w:val="494D4C"/>
          <w:sz w:val="18"/>
          <w:szCs w:val="18"/>
          <w:shd w:val="clear" w:color="auto" w:fill="FFFFFF"/>
        </w:rPr>
        <w:t>China Perspectives.</w:t>
      </w:r>
      <w:proofErr w:type="gramEnd"/>
      <w:r>
        <w:rPr>
          <w:rFonts w:ascii="Arial" w:hAnsi="Arial" w:cs="Arial"/>
          <w:color w:val="494D4C"/>
          <w:sz w:val="18"/>
          <w:szCs w:val="18"/>
          <w:shd w:val="clear" w:color="auto" w:fill="FFFFFF"/>
        </w:rPr>
        <w:t xml:space="preserve"> No. </w:t>
      </w:r>
    </w:p>
    <w:p w:rsidR="00201114" w:rsidRDefault="00201114">
      <w:pPr>
        <w:rPr>
          <w:rFonts w:ascii="Arial" w:hAnsi="Arial" w:cs="Arial"/>
          <w:color w:val="494D4C"/>
          <w:sz w:val="18"/>
          <w:szCs w:val="18"/>
          <w:shd w:val="clear" w:color="auto" w:fill="FFFFFF"/>
        </w:rPr>
      </w:pPr>
      <w:r>
        <w:rPr>
          <w:rFonts w:ascii="Arial" w:hAnsi="Arial" w:cs="Arial"/>
          <w:color w:val="494D4C"/>
          <w:sz w:val="18"/>
          <w:szCs w:val="18"/>
          <w:shd w:val="clear" w:color="auto" w:fill="FFFFFF"/>
        </w:rPr>
        <w:tab/>
      </w:r>
      <w:proofErr w:type="gramStart"/>
      <w:r>
        <w:rPr>
          <w:rFonts w:ascii="Arial" w:hAnsi="Arial" w:cs="Arial"/>
          <w:color w:val="494D4C"/>
          <w:sz w:val="18"/>
          <w:szCs w:val="18"/>
          <w:shd w:val="clear" w:color="auto" w:fill="FFFFFF"/>
        </w:rPr>
        <w:t>2012/4.</w:t>
      </w:r>
      <w:proofErr w:type="gramEnd"/>
      <w:r>
        <w:rPr>
          <w:rFonts w:ascii="Arial" w:hAnsi="Arial" w:cs="Arial"/>
          <w:color w:val="494D4C"/>
          <w:sz w:val="18"/>
          <w:szCs w:val="18"/>
          <w:shd w:val="clear" w:color="auto" w:fill="FFFFFF"/>
        </w:rPr>
        <w:t xml:space="preserve"> </w:t>
      </w:r>
      <w:proofErr w:type="spellStart"/>
      <w:r w:rsidR="00320C90">
        <w:rPr>
          <w:rFonts w:ascii="Arial" w:hAnsi="Arial" w:cs="Arial"/>
          <w:color w:val="494D4C"/>
          <w:sz w:val="18"/>
          <w:szCs w:val="18"/>
          <w:shd w:val="clear" w:color="auto" w:fill="FFFFFF"/>
        </w:rPr>
        <w:t>N.d.</w:t>
      </w:r>
      <w:proofErr w:type="spellEnd"/>
      <w:r w:rsidR="00320C90">
        <w:rPr>
          <w:rFonts w:ascii="Arial" w:hAnsi="Arial" w:cs="Arial"/>
          <w:color w:val="494D4C"/>
          <w:sz w:val="18"/>
          <w:szCs w:val="18"/>
          <w:shd w:val="clear" w:color="auto" w:fill="FFFFFF"/>
        </w:rPr>
        <w:t xml:space="preserve"> </w:t>
      </w:r>
      <w:hyperlink r:id="rId7" w:history="1">
        <w:r w:rsidRPr="000605FF">
          <w:rPr>
            <w:rStyle w:val="Hyperlink"/>
            <w:rFonts w:ascii="Arial" w:hAnsi="Arial" w:cs="Arial"/>
            <w:sz w:val="21"/>
            <w:szCs w:val="21"/>
            <w:shd w:val="clear" w:color="auto" w:fill="FFFFFF"/>
          </w:rPr>
          <w:t>https://</w:t>
        </w:r>
        <w:r w:rsidRPr="000605FF">
          <w:rPr>
            <w:rStyle w:val="Hyperlink"/>
            <w:rFonts w:ascii="Arial" w:hAnsi="Arial" w:cs="Arial"/>
            <w:b/>
            <w:bCs/>
            <w:sz w:val="21"/>
            <w:szCs w:val="21"/>
            <w:shd w:val="clear" w:color="auto" w:fill="FFFFFF"/>
          </w:rPr>
          <w:t>china</w:t>
        </w:r>
        <w:r w:rsidRPr="000605FF">
          <w:rPr>
            <w:rStyle w:val="Hyperlink"/>
            <w:rFonts w:ascii="Arial" w:hAnsi="Arial" w:cs="Arial"/>
            <w:sz w:val="21"/>
            <w:szCs w:val="21"/>
            <w:shd w:val="clear" w:color="auto" w:fill="FFFFFF"/>
          </w:rPr>
          <w:t>perspectives.revues.org/6013?file=1</w:t>
        </w:r>
      </w:hyperlink>
      <w:r>
        <w:rPr>
          <w:rFonts w:ascii="Arial" w:hAnsi="Arial" w:cs="Arial"/>
          <w:color w:val="006621"/>
          <w:sz w:val="21"/>
          <w:szCs w:val="21"/>
          <w:shd w:val="clear" w:color="auto" w:fill="FFFFFF"/>
        </w:rPr>
        <w:t xml:space="preserve"> </w:t>
      </w:r>
    </w:p>
    <w:p w:rsidR="00201114" w:rsidRDefault="00201114">
      <w:pPr>
        <w:rPr>
          <w:rFonts w:ascii="Arial" w:hAnsi="Arial" w:cs="Arial"/>
          <w:color w:val="494D4C"/>
          <w:sz w:val="18"/>
          <w:szCs w:val="18"/>
          <w:shd w:val="clear" w:color="auto" w:fill="FFFFFF"/>
        </w:rPr>
      </w:pPr>
    </w:p>
    <w:p w:rsidR="00445B01" w:rsidRDefault="00445B01">
      <w:pPr>
        <w:rPr>
          <w:rFonts w:ascii="Arial" w:hAnsi="Arial" w:cs="Arial"/>
          <w:i/>
          <w:iCs/>
          <w:color w:val="494D4C"/>
          <w:sz w:val="18"/>
          <w:szCs w:val="18"/>
          <w:shd w:val="clear" w:color="auto" w:fill="FFFFFF"/>
        </w:rPr>
      </w:pPr>
      <w:proofErr w:type="gramStart"/>
      <w:r>
        <w:rPr>
          <w:rFonts w:ascii="Arial" w:hAnsi="Arial" w:cs="Arial"/>
          <w:color w:val="494D4C"/>
          <w:sz w:val="18"/>
          <w:szCs w:val="18"/>
          <w:shd w:val="clear" w:color="auto" w:fill="FFFFFF"/>
        </w:rPr>
        <w:t xml:space="preserve">Fincher, </w:t>
      </w:r>
      <w:proofErr w:type="spellStart"/>
      <w:r>
        <w:rPr>
          <w:rFonts w:ascii="Arial" w:hAnsi="Arial" w:cs="Arial"/>
          <w:color w:val="494D4C"/>
          <w:sz w:val="18"/>
          <w:szCs w:val="18"/>
          <w:shd w:val="clear" w:color="auto" w:fill="FFFFFF"/>
        </w:rPr>
        <w:t>Leta</w:t>
      </w:r>
      <w:proofErr w:type="spellEnd"/>
      <w:r>
        <w:rPr>
          <w:rFonts w:ascii="Arial" w:hAnsi="Arial" w:cs="Arial"/>
          <w:color w:val="494D4C"/>
          <w:sz w:val="18"/>
          <w:szCs w:val="18"/>
          <w:shd w:val="clear" w:color="auto" w:fill="FFFFFF"/>
        </w:rPr>
        <w:t xml:space="preserve"> Hong.</w:t>
      </w:r>
      <w:proofErr w:type="gramEnd"/>
      <w:r>
        <w:rPr>
          <w:rFonts w:ascii="Arial" w:hAnsi="Arial" w:cs="Arial"/>
          <w:color w:val="494D4C"/>
          <w:sz w:val="18"/>
          <w:szCs w:val="18"/>
          <w:shd w:val="clear" w:color="auto" w:fill="FFFFFF"/>
        </w:rPr>
        <w:t xml:space="preserve"> "China's Entrenched Gender Gap."</w:t>
      </w:r>
      <w:r>
        <w:rPr>
          <w:rStyle w:val="apple-converted-space"/>
          <w:rFonts w:ascii="Arial" w:hAnsi="Arial" w:cs="Arial"/>
          <w:color w:val="494D4C"/>
          <w:sz w:val="18"/>
          <w:szCs w:val="18"/>
          <w:shd w:val="clear" w:color="auto" w:fill="FFFFFF"/>
        </w:rPr>
        <w:t> </w:t>
      </w:r>
      <w:proofErr w:type="gramStart"/>
      <w:r>
        <w:rPr>
          <w:rFonts w:ascii="Arial" w:hAnsi="Arial" w:cs="Arial"/>
          <w:i/>
          <w:iCs/>
          <w:color w:val="494D4C"/>
          <w:sz w:val="18"/>
          <w:szCs w:val="18"/>
          <w:shd w:val="clear" w:color="auto" w:fill="FFFFFF"/>
        </w:rPr>
        <w:t>New York Times.</w:t>
      </w:r>
      <w:proofErr w:type="gramEnd"/>
      <w:r>
        <w:rPr>
          <w:rStyle w:val="apple-converted-space"/>
          <w:rFonts w:ascii="Arial" w:hAnsi="Arial" w:cs="Arial"/>
          <w:color w:val="494D4C"/>
          <w:sz w:val="18"/>
          <w:szCs w:val="18"/>
          <w:shd w:val="clear" w:color="auto" w:fill="FFFFFF"/>
        </w:rPr>
        <w:t> </w:t>
      </w:r>
      <w:r>
        <w:rPr>
          <w:rFonts w:ascii="Arial" w:hAnsi="Arial" w:cs="Arial"/>
          <w:color w:val="494D4C"/>
          <w:sz w:val="18"/>
          <w:szCs w:val="18"/>
          <w:shd w:val="clear" w:color="auto" w:fill="FFFFFF"/>
        </w:rPr>
        <w:t xml:space="preserve"> May, 21 2013.</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 xml:space="preserve">Global Issues In </w:t>
      </w:r>
    </w:p>
    <w:p w:rsidR="00445B01" w:rsidRDefault="00445B01">
      <w:pPr>
        <w:rPr>
          <w:sz w:val="20"/>
          <w:szCs w:val="20"/>
        </w:rPr>
      </w:pPr>
      <w:r>
        <w:rPr>
          <w:rFonts w:ascii="Arial" w:hAnsi="Arial" w:cs="Arial"/>
          <w:i/>
          <w:iCs/>
          <w:color w:val="494D4C"/>
          <w:sz w:val="18"/>
          <w:szCs w:val="18"/>
          <w:shd w:val="clear" w:color="auto" w:fill="FFFFFF"/>
        </w:rPr>
        <w:tab/>
      </w:r>
      <w:proofErr w:type="gramStart"/>
      <w:r>
        <w:rPr>
          <w:rFonts w:ascii="Arial" w:hAnsi="Arial" w:cs="Arial"/>
          <w:i/>
          <w:iCs/>
          <w:color w:val="494D4C"/>
          <w:sz w:val="18"/>
          <w:szCs w:val="18"/>
          <w:shd w:val="clear" w:color="auto" w:fill="FFFFFF"/>
        </w:rPr>
        <w:t>Context</w:t>
      </w:r>
      <w:r>
        <w:rPr>
          <w:rFonts w:ascii="Arial" w:hAnsi="Arial" w:cs="Arial"/>
          <w:color w:val="494D4C"/>
          <w:sz w:val="18"/>
          <w:szCs w:val="18"/>
          <w:shd w:val="clear" w:color="auto" w:fill="FFFFFF"/>
        </w:rPr>
        <w:t>.</w:t>
      </w:r>
      <w:proofErr w:type="gramEnd"/>
      <w:r>
        <w:rPr>
          <w:rFonts w:ascii="Arial" w:hAnsi="Arial" w:cs="Arial"/>
          <w:color w:val="494D4C"/>
          <w:sz w:val="18"/>
          <w:szCs w:val="18"/>
          <w:shd w:val="clear" w:color="auto" w:fill="FFFFFF"/>
        </w:rPr>
        <w:t xml:space="preserve"> </w:t>
      </w:r>
    </w:p>
    <w:p w:rsidR="00445B01" w:rsidRDefault="00445B01">
      <w:pPr>
        <w:rPr>
          <w:sz w:val="20"/>
          <w:szCs w:val="20"/>
        </w:rPr>
      </w:pPr>
    </w:p>
    <w:p w:rsidR="00445B01" w:rsidRPr="00445B01" w:rsidRDefault="00EB1A76">
      <w:pPr>
        <w:rPr>
          <w:i/>
          <w:sz w:val="20"/>
          <w:szCs w:val="20"/>
        </w:rPr>
      </w:pPr>
      <w:r>
        <w:rPr>
          <w:sz w:val="20"/>
          <w:szCs w:val="20"/>
        </w:rPr>
        <w:t xml:space="preserve">Li, </w:t>
      </w:r>
      <w:proofErr w:type="spellStart"/>
      <w:r>
        <w:rPr>
          <w:sz w:val="20"/>
          <w:szCs w:val="20"/>
        </w:rPr>
        <w:t>Yuhui</w:t>
      </w:r>
      <w:proofErr w:type="spellEnd"/>
      <w:r>
        <w:rPr>
          <w:sz w:val="20"/>
          <w:szCs w:val="20"/>
        </w:rPr>
        <w:t xml:space="preserve">. </w:t>
      </w:r>
      <w:proofErr w:type="gramStart"/>
      <w:r>
        <w:rPr>
          <w:sz w:val="20"/>
          <w:szCs w:val="20"/>
        </w:rPr>
        <w:t>“Women’s Movement and Change of Women’s Status in China.”</w:t>
      </w:r>
      <w:proofErr w:type="gramEnd"/>
      <w:r>
        <w:rPr>
          <w:sz w:val="20"/>
          <w:szCs w:val="20"/>
        </w:rPr>
        <w:t xml:space="preserve"> </w:t>
      </w:r>
      <w:r w:rsidRPr="00445B01">
        <w:rPr>
          <w:i/>
          <w:sz w:val="20"/>
          <w:szCs w:val="20"/>
        </w:rPr>
        <w:t xml:space="preserve">Journal of International </w:t>
      </w:r>
    </w:p>
    <w:p w:rsidR="00445B01" w:rsidRDefault="00445B01">
      <w:pPr>
        <w:rPr>
          <w:sz w:val="20"/>
          <w:szCs w:val="20"/>
        </w:rPr>
      </w:pPr>
      <w:r w:rsidRPr="00445B01">
        <w:rPr>
          <w:i/>
          <w:sz w:val="20"/>
          <w:szCs w:val="20"/>
        </w:rPr>
        <w:tab/>
      </w:r>
      <w:proofErr w:type="gramStart"/>
      <w:r w:rsidR="00EB1A76" w:rsidRPr="00445B01">
        <w:rPr>
          <w:i/>
          <w:sz w:val="20"/>
          <w:szCs w:val="20"/>
        </w:rPr>
        <w:t>Women’s Studies.</w:t>
      </w:r>
      <w:proofErr w:type="gramEnd"/>
      <w:r w:rsidR="00EB1A76">
        <w:rPr>
          <w:sz w:val="20"/>
          <w:szCs w:val="20"/>
        </w:rPr>
        <w:t xml:space="preserve"> </w:t>
      </w:r>
      <w:proofErr w:type="spellStart"/>
      <w:r w:rsidR="00EB1A76">
        <w:rPr>
          <w:sz w:val="20"/>
          <w:szCs w:val="20"/>
        </w:rPr>
        <w:t>Vol</w:t>
      </w:r>
      <w:proofErr w:type="spellEnd"/>
      <w:r w:rsidR="00EB1A76">
        <w:rPr>
          <w:sz w:val="20"/>
          <w:szCs w:val="20"/>
        </w:rPr>
        <w:t xml:space="preserve"> 1, No., 1, 2000. </w:t>
      </w:r>
    </w:p>
    <w:p w:rsidR="00EB1A76" w:rsidRDefault="00445B01">
      <w:pPr>
        <w:rPr>
          <w:sz w:val="20"/>
          <w:szCs w:val="20"/>
        </w:rPr>
      </w:pPr>
      <w:r>
        <w:rPr>
          <w:sz w:val="20"/>
          <w:szCs w:val="20"/>
        </w:rPr>
        <w:tab/>
      </w:r>
      <w:hyperlink r:id="rId8" w:history="1">
        <w:r w:rsidR="00EB1A76" w:rsidRPr="00C14CE8">
          <w:rPr>
            <w:rStyle w:val="Hyperlink"/>
            <w:sz w:val="20"/>
            <w:szCs w:val="20"/>
          </w:rPr>
          <w:t>http://vc.bridgew.edu/cgi/viewcontent.cgi?article=1626&amp;context=jiws</w:t>
        </w:r>
      </w:hyperlink>
    </w:p>
    <w:p w:rsidR="00EB1A76" w:rsidRDefault="00EB1A76">
      <w:pPr>
        <w:rPr>
          <w:sz w:val="20"/>
          <w:szCs w:val="20"/>
        </w:rPr>
      </w:pPr>
    </w:p>
    <w:p w:rsidR="00EB1A76" w:rsidRPr="006939FD" w:rsidRDefault="00EB1A76">
      <w:pPr>
        <w:rPr>
          <w:sz w:val="20"/>
          <w:szCs w:val="20"/>
        </w:rPr>
      </w:pPr>
    </w:p>
    <w:sectPr w:rsidR="00EB1A76" w:rsidRPr="006939FD">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E1" w:rsidRDefault="009A76E1" w:rsidP="002F7960">
      <w:r>
        <w:separator/>
      </w:r>
    </w:p>
  </w:endnote>
  <w:endnote w:type="continuationSeparator" w:id="0">
    <w:p w:rsidR="009A76E1" w:rsidRDefault="009A76E1" w:rsidP="002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E1" w:rsidRDefault="009A76E1" w:rsidP="002F7960">
      <w:r>
        <w:separator/>
      </w:r>
    </w:p>
  </w:footnote>
  <w:footnote w:type="continuationSeparator" w:id="0">
    <w:p w:rsidR="009A76E1" w:rsidRDefault="009A76E1" w:rsidP="002F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60" w:rsidRDefault="002F7960">
    <w:pPr>
      <w:pStyle w:val="Header"/>
    </w:pPr>
    <w:r>
      <w:t xml:space="preserve">Page </w:t>
    </w:r>
    <w:r>
      <w:rPr>
        <w:b/>
        <w:bCs/>
      </w:rPr>
      <w:fldChar w:fldCharType="begin"/>
    </w:r>
    <w:r>
      <w:rPr>
        <w:b/>
        <w:bCs/>
      </w:rPr>
      <w:instrText xml:space="preserve"> PAGE </w:instrText>
    </w:r>
    <w:r>
      <w:rPr>
        <w:b/>
        <w:bCs/>
      </w:rPr>
      <w:fldChar w:fldCharType="separate"/>
    </w:r>
    <w:r w:rsidR="0010224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2248">
      <w:rPr>
        <w:b/>
        <w:bCs/>
        <w:noProof/>
      </w:rPr>
      <w:t>2</w:t>
    </w:r>
    <w:r>
      <w:rPr>
        <w:b/>
        <w:bCs/>
      </w:rPr>
      <w:fldChar w:fldCharType="end"/>
    </w:r>
  </w:p>
  <w:p w:rsidR="002F7960" w:rsidRDefault="002F7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C"/>
    <w:rsid w:val="00012537"/>
    <w:rsid w:val="000650D7"/>
    <w:rsid w:val="0006674C"/>
    <w:rsid w:val="000715C9"/>
    <w:rsid w:val="00074C5F"/>
    <w:rsid w:val="000861DC"/>
    <w:rsid w:val="000C470B"/>
    <w:rsid w:val="00102248"/>
    <w:rsid w:val="0011324B"/>
    <w:rsid w:val="00115F98"/>
    <w:rsid w:val="00162706"/>
    <w:rsid w:val="001B470B"/>
    <w:rsid w:val="001B5FB4"/>
    <w:rsid w:val="001C5E19"/>
    <w:rsid w:val="001C667E"/>
    <w:rsid w:val="00201114"/>
    <w:rsid w:val="002118B1"/>
    <w:rsid w:val="00283281"/>
    <w:rsid w:val="002A4D0D"/>
    <w:rsid w:val="002B1132"/>
    <w:rsid w:val="002C222F"/>
    <w:rsid w:val="002D078F"/>
    <w:rsid w:val="002D3449"/>
    <w:rsid w:val="002F7960"/>
    <w:rsid w:val="003177F2"/>
    <w:rsid w:val="00320C90"/>
    <w:rsid w:val="0039709C"/>
    <w:rsid w:val="003A145E"/>
    <w:rsid w:val="003B3A13"/>
    <w:rsid w:val="003D14D7"/>
    <w:rsid w:val="003D5F4E"/>
    <w:rsid w:val="0042684E"/>
    <w:rsid w:val="00426BE8"/>
    <w:rsid w:val="00445B01"/>
    <w:rsid w:val="004670AF"/>
    <w:rsid w:val="00475B59"/>
    <w:rsid w:val="00486AA1"/>
    <w:rsid w:val="004C392D"/>
    <w:rsid w:val="004C5D86"/>
    <w:rsid w:val="004E16DE"/>
    <w:rsid w:val="00505C8F"/>
    <w:rsid w:val="005147F0"/>
    <w:rsid w:val="005A79A1"/>
    <w:rsid w:val="006059B6"/>
    <w:rsid w:val="006249C8"/>
    <w:rsid w:val="006939FD"/>
    <w:rsid w:val="006A6DF0"/>
    <w:rsid w:val="006B6A39"/>
    <w:rsid w:val="006E7C06"/>
    <w:rsid w:val="00733224"/>
    <w:rsid w:val="0075269B"/>
    <w:rsid w:val="00757215"/>
    <w:rsid w:val="00764296"/>
    <w:rsid w:val="0077739B"/>
    <w:rsid w:val="007A0B4C"/>
    <w:rsid w:val="007B376A"/>
    <w:rsid w:val="007C3EDF"/>
    <w:rsid w:val="00813B32"/>
    <w:rsid w:val="00816C93"/>
    <w:rsid w:val="0083051A"/>
    <w:rsid w:val="008343ED"/>
    <w:rsid w:val="008620D1"/>
    <w:rsid w:val="0086214D"/>
    <w:rsid w:val="00897C06"/>
    <w:rsid w:val="008F4631"/>
    <w:rsid w:val="00910E13"/>
    <w:rsid w:val="00946533"/>
    <w:rsid w:val="00952A29"/>
    <w:rsid w:val="009768E5"/>
    <w:rsid w:val="0098339D"/>
    <w:rsid w:val="009A3D42"/>
    <w:rsid w:val="009A76E1"/>
    <w:rsid w:val="009C6F1B"/>
    <w:rsid w:val="009D19D5"/>
    <w:rsid w:val="009D1C9F"/>
    <w:rsid w:val="009E79ED"/>
    <w:rsid w:val="00A23C14"/>
    <w:rsid w:val="00A37C47"/>
    <w:rsid w:val="00A5212F"/>
    <w:rsid w:val="00A545B4"/>
    <w:rsid w:val="00A54C3D"/>
    <w:rsid w:val="00AA4A5A"/>
    <w:rsid w:val="00AE30A6"/>
    <w:rsid w:val="00AE6DFF"/>
    <w:rsid w:val="00B825AC"/>
    <w:rsid w:val="00BA5461"/>
    <w:rsid w:val="00BC79ED"/>
    <w:rsid w:val="00C77A82"/>
    <w:rsid w:val="00D20574"/>
    <w:rsid w:val="00D260F5"/>
    <w:rsid w:val="00D26B50"/>
    <w:rsid w:val="00D4351F"/>
    <w:rsid w:val="00D54017"/>
    <w:rsid w:val="00D631E0"/>
    <w:rsid w:val="00D661CF"/>
    <w:rsid w:val="00D704F3"/>
    <w:rsid w:val="00D906BC"/>
    <w:rsid w:val="00DE15D5"/>
    <w:rsid w:val="00DE3172"/>
    <w:rsid w:val="00EB1A76"/>
    <w:rsid w:val="00F13646"/>
    <w:rsid w:val="00F44264"/>
    <w:rsid w:val="00FC4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C06"/>
    <w:rPr>
      <w:color w:val="0000FF"/>
      <w:u w:val="single"/>
    </w:rPr>
  </w:style>
  <w:style w:type="table" w:styleId="TableGrid">
    <w:name w:val="Table Grid"/>
    <w:basedOn w:val="TableNormal"/>
    <w:rsid w:val="008F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86AA1"/>
    <w:rPr>
      <w:color w:val="800080"/>
      <w:u w:val="single"/>
    </w:rPr>
  </w:style>
  <w:style w:type="character" w:customStyle="1" w:styleId="apple-converted-space">
    <w:name w:val="apple-converted-space"/>
    <w:rsid w:val="00445B01"/>
  </w:style>
  <w:style w:type="paragraph" w:styleId="Header">
    <w:name w:val="header"/>
    <w:basedOn w:val="Normal"/>
    <w:link w:val="HeaderChar"/>
    <w:uiPriority w:val="99"/>
    <w:rsid w:val="002F7960"/>
    <w:pPr>
      <w:tabs>
        <w:tab w:val="center" w:pos="4680"/>
        <w:tab w:val="right" w:pos="9360"/>
      </w:tabs>
    </w:pPr>
  </w:style>
  <w:style w:type="character" w:customStyle="1" w:styleId="HeaderChar">
    <w:name w:val="Header Char"/>
    <w:link w:val="Header"/>
    <w:uiPriority w:val="99"/>
    <w:rsid w:val="002F7960"/>
    <w:rPr>
      <w:sz w:val="24"/>
      <w:szCs w:val="24"/>
      <w:lang w:val="en-US" w:eastAsia="en-US"/>
    </w:rPr>
  </w:style>
  <w:style w:type="paragraph" w:styleId="Footer">
    <w:name w:val="footer"/>
    <w:basedOn w:val="Normal"/>
    <w:link w:val="FooterChar"/>
    <w:rsid w:val="002F7960"/>
    <w:pPr>
      <w:tabs>
        <w:tab w:val="center" w:pos="4680"/>
        <w:tab w:val="right" w:pos="9360"/>
      </w:tabs>
    </w:pPr>
  </w:style>
  <w:style w:type="character" w:customStyle="1" w:styleId="FooterChar">
    <w:name w:val="Footer Char"/>
    <w:link w:val="Footer"/>
    <w:rsid w:val="002F796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C06"/>
    <w:rPr>
      <w:color w:val="0000FF"/>
      <w:u w:val="single"/>
    </w:rPr>
  </w:style>
  <w:style w:type="table" w:styleId="TableGrid">
    <w:name w:val="Table Grid"/>
    <w:basedOn w:val="TableNormal"/>
    <w:rsid w:val="008F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86AA1"/>
    <w:rPr>
      <w:color w:val="800080"/>
      <w:u w:val="single"/>
    </w:rPr>
  </w:style>
  <w:style w:type="character" w:customStyle="1" w:styleId="apple-converted-space">
    <w:name w:val="apple-converted-space"/>
    <w:rsid w:val="00445B01"/>
  </w:style>
  <w:style w:type="paragraph" w:styleId="Header">
    <w:name w:val="header"/>
    <w:basedOn w:val="Normal"/>
    <w:link w:val="HeaderChar"/>
    <w:uiPriority w:val="99"/>
    <w:rsid w:val="002F7960"/>
    <w:pPr>
      <w:tabs>
        <w:tab w:val="center" w:pos="4680"/>
        <w:tab w:val="right" w:pos="9360"/>
      </w:tabs>
    </w:pPr>
  </w:style>
  <w:style w:type="character" w:customStyle="1" w:styleId="HeaderChar">
    <w:name w:val="Header Char"/>
    <w:link w:val="Header"/>
    <w:uiPriority w:val="99"/>
    <w:rsid w:val="002F7960"/>
    <w:rPr>
      <w:sz w:val="24"/>
      <w:szCs w:val="24"/>
      <w:lang w:val="en-US" w:eastAsia="en-US"/>
    </w:rPr>
  </w:style>
  <w:style w:type="paragraph" w:styleId="Footer">
    <w:name w:val="footer"/>
    <w:basedOn w:val="Normal"/>
    <w:link w:val="FooterChar"/>
    <w:rsid w:val="002F7960"/>
    <w:pPr>
      <w:tabs>
        <w:tab w:val="center" w:pos="4680"/>
        <w:tab w:val="right" w:pos="9360"/>
      </w:tabs>
    </w:pPr>
  </w:style>
  <w:style w:type="character" w:customStyle="1" w:styleId="FooterChar">
    <w:name w:val="Footer Char"/>
    <w:link w:val="Footer"/>
    <w:rsid w:val="002F79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c.bridgew.edu/cgi/viewcontent.cgi?article=1626&amp;context=jiws" TargetMode="External"/><Relationship Id="rId3" Type="http://schemas.openxmlformats.org/officeDocument/2006/relationships/settings" Target="settings.xml"/><Relationship Id="rId7" Type="http://schemas.openxmlformats.org/officeDocument/2006/relationships/hyperlink" Target="https://chinaperspectives.revues.org/6013?fil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Timeline of Second Wave Feminism in the US</vt:lpstr>
    </vt:vector>
  </TitlesOfParts>
  <Company>Toronto District School Board</Company>
  <LinksUpToDate>false</LinksUpToDate>
  <CharactersWithSpaces>4584</CharactersWithSpaces>
  <SharedDoc>false</SharedDoc>
  <HLinks>
    <vt:vector size="24" baseType="variant">
      <vt:variant>
        <vt:i4>65552</vt:i4>
      </vt:variant>
      <vt:variant>
        <vt:i4>9</vt:i4>
      </vt:variant>
      <vt:variant>
        <vt:i4>0</vt:i4>
      </vt:variant>
      <vt:variant>
        <vt:i4>5</vt:i4>
      </vt:variant>
      <vt:variant>
        <vt:lpwstr>http://www.pbs.org/wgbh/amex/pill/index.html</vt:lpwstr>
      </vt:variant>
      <vt:variant>
        <vt:lpwstr/>
      </vt:variant>
      <vt:variant>
        <vt:i4>4849737</vt:i4>
      </vt:variant>
      <vt:variant>
        <vt:i4>6</vt:i4>
      </vt:variant>
      <vt:variant>
        <vt:i4>0</vt:i4>
      </vt:variant>
      <vt:variant>
        <vt:i4>5</vt:i4>
      </vt:variant>
      <vt:variant>
        <vt:lpwstr>http://www.nwhm.org/online-exhibits/progressiveera/home.html</vt:lpwstr>
      </vt:variant>
      <vt:variant>
        <vt:lpwstr/>
      </vt:variant>
      <vt:variant>
        <vt:i4>3342459</vt:i4>
      </vt:variant>
      <vt:variant>
        <vt:i4>3</vt:i4>
      </vt:variant>
      <vt:variant>
        <vt:i4>0</vt:i4>
      </vt:variant>
      <vt:variant>
        <vt:i4>5</vt:i4>
      </vt:variant>
      <vt:variant>
        <vt:lpwstr>http://www.brooklynmuseum.org/eascfa/feminist_timeline/plain_text.php</vt:lpwstr>
      </vt:variant>
      <vt:variant>
        <vt:lpwstr/>
      </vt:variant>
      <vt:variant>
        <vt:i4>1179669</vt:i4>
      </vt:variant>
      <vt:variant>
        <vt:i4>0</vt:i4>
      </vt:variant>
      <vt:variant>
        <vt:i4>0</vt:i4>
      </vt:variant>
      <vt:variant>
        <vt:i4>5</vt:i4>
      </vt:variant>
      <vt:variant>
        <vt:lpwstr>http://womenshistory.about.com/od/feminism-second-wave/a/1960s-Feminism-Timeline.htm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Second Wave Feminism in the US</dc:title>
  <dc:creator>Risa Gluskin</dc:creator>
  <cp:lastModifiedBy>Gluskin, Risa</cp:lastModifiedBy>
  <cp:revision>2</cp:revision>
  <dcterms:created xsi:type="dcterms:W3CDTF">2017-05-31T11:51:00Z</dcterms:created>
  <dcterms:modified xsi:type="dcterms:W3CDTF">2017-05-31T11:51:00Z</dcterms:modified>
</cp:coreProperties>
</file>